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FAB5A" w14:textId="77777777" w:rsidR="002E170D" w:rsidRPr="002B1745" w:rsidRDefault="002E170D" w:rsidP="009E3F2E">
      <w:pPr>
        <w:rPr>
          <w:rFonts w:ascii="Lato" w:hAnsi="Lato" w:cs="Arial"/>
          <w:b/>
          <w:i/>
          <w:color w:val="808080"/>
          <w:sz w:val="22"/>
          <w:szCs w:val="22"/>
        </w:rPr>
      </w:pPr>
    </w:p>
    <w:tbl>
      <w:tblPr>
        <w:tblW w:w="954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291"/>
      </w:tblGrid>
      <w:tr w:rsidR="00174203" w:rsidRPr="002B1745" w14:paraId="079FAB5C" w14:textId="77777777" w:rsidTr="00C656C1">
        <w:trPr>
          <w:trHeight w:val="413"/>
        </w:trPr>
        <w:tc>
          <w:tcPr>
            <w:tcW w:w="9544" w:type="dxa"/>
            <w:gridSpan w:val="2"/>
          </w:tcPr>
          <w:p w14:paraId="079FAB5B" w14:textId="68953BFE" w:rsidR="002B21C3" w:rsidRPr="002B1745" w:rsidRDefault="00174203" w:rsidP="002B21C3">
            <w:pPr>
              <w:tabs>
                <w:tab w:val="left" w:pos="1418"/>
              </w:tabs>
              <w:rPr>
                <w:rFonts w:ascii="Lato" w:hAnsi="Lato" w:cs="Arial"/>
                <w:sz w:val="22"/>
                <w:szCs w:val="22"/>
                <w:lang w:eastAsia="en-GB"/>
              </w:rPr>
            </w:pPr>
            <w:r w:rsidRPr="002B1745">
              <w:rPr>
                <w:rFonts w:ascii="Lato" w:hAnsi="Lato" w:cs="Arial"/>
                <w:b/>
                <w:sz w:val="22"/>
                <w:szCs w:val="22"/>
              </w:rPr>
              <w:t xml:space="preserve">TITLE: </w:t>
            </w:r>
            <w:r w:rsidR="00EF33BF" w:rsidRPr="002B1745">
              <w:rPr>
                <w:rFonts w:ascii="Lato" w:hAnsi="Lato" w:cs="Arial"/>
                <w:sz w:val="22"/>
                <w:szCs w:val="22"/>
                <w:lang w:eastAsia="en-GB"/>
              </w:rPr>
              <w:t> </w:t>
            </w:r>
            <w:r w:rsidR="008C36E0" w:rsidRPr="00A929D2">
              <w:rPr>
                <w:rFonts w:ascii="Lato" w:hAnsi="Lato" w:cs="Arial"/>
                <w:sz w:val="22"/>
                <w:szCs w:val="22"/>
              </w:rPr>
              <w:t>Regional Humanitarian Context Analyst</w:t>
            </w:r>
          </w:p>
        </w:tc>
      </w:tr>
      <w:tr w:rsidR="00174203" w:rsidRPr="002B1745" w14:paraId="079FAB5F" w14:textId="77777777" w:rsidTr="008C36E0">
        <w:trPr>
          <w:trHeight w:val="404"/>
        </w:trPr>
        <w:tc>
          <w:tcPr>
            <w:tcW w:w="4253" w:type="dxa"/>
            <w:tcBorders>
              <w:bottom w:val="single" w:sz="4" w:space="0" w:color="auto"/>
            </w:tcBorders>
          </w:tcPr>
          <w:p w14:paraId="079FAB5D" w14:textId="66602E48" w:rsidR="00EF33BF" w:rsidRPr="002B1745" w:rsidRDefault="00F55B51">
            <w:pPr>
              <w:tabs>
                <w:tab w:val="left" w:pos="1418"/>
              </w:tabs>
              <w:rPr>
                <w:rFonts w:ascii="Lato" w:hAnsi="Lato" w:cs="Arial"/>
                <w:sz w:val="22"/>
                <w:szCs w:val="22"/>
              </w:rPr>
            </w:pPr>
            <w:r w:rsidRPr="002B1745">
              <w:rPr>
                <w:rFonts w:ascii="Lato" w:hAnsi="Lato" w:cs="Arial"/>
                <w:b/>
                <w:sz w:val="22"/>
                <w:szCs w:val="22"/>
              </w:rPr>
              <w:t>TEAM/PROGRAMME</w:t>
            </w:r>
            <w:r w:rsidR="00174203" w:rsidRPr="002B1745">
              <w:rPr>
                <w:rFonts w:ascii="Lato" w:hAnsi="Lato" w:cs="Arial"/>
                <w:b/>
                <w:sz w:val="22"/>
                <w:szCs w:val="22"/>
              </w:rPr>
              <w:t xml:space="preserve">: </w:t>
            </w:r>
            <w:r w:rsidR="00284A9A" w:rsidRPr="00553C19">
              <w:rPr>
                <w:rFonts w:ascii="Lato" w:hAnsi="Lato" w:cstheme="minorBidi"/>
                <w:sz w:val="22"/>
                <w:szCs w:val="22"/>
              </w:rPr>
              <w:t>Human</w:t>
            </w:r>
            <w:r w:rsidR="00284A9A">
              <w:rPr>
                <w:rFonts w:ascii="Lato" w:hAnsi="Lato" w:cstheme="minorBidi"/>
                <w:sz w:val="22"/>
                <w:szCs w:val="22"/>
              </w:rPr>
              <w:t>ita</w:t>
            </w:r>
            <w:r w:rsidR="00284A9A" w:rsidRPr="00553C19">
              <w:rPr>
                <w:rFonts w:ascii="Lato" w:hAnsi="Lato" w:cstheme="minorBidi"/>
                <w:sz w:val="22"/>
                <w:szCs w:val="22"/>
              </w:rPr>
              <w:t>rian Programme</w:t>
            </w:r>
            <w:r w:rsidR="00284A9A">
              <w:rPr>
                <w:rFonts w:ascii="Lato" w:hAnsi="Lato" w:cstheme="minorBidi"/>
                <w:sz w:val="22"/>
                <w:szCs w:val="22"/>
              </w:rPr>
              <w:t xml:space="preserve"> Team</w:t>
            </w:r>
          </w:p>
        </w:tc>
        <w:tc>
          <w:tcPr>
            <w:tcW w:w="5291" w:type="dxa"/>
            <w:tcBorders>
              <w:bottom w:val="single" w:sz="4" w:space="0" w:color="auto"/>
            </w:tcBorders>
          </w:tcPr>
          <w:p w14:paraId="079FAB5E" w14:textId="1D503ACE" w:rsidR="00174203" w:rsidRPr="002B1745" w:rsidRDefault="00F55B51">
            <w:pPr>
              <w:tabs>
                <w:tab w:val="left" w:pos="1693"/>
              </w:tabs>
              <w:rPr>
                <w:rFonts w:ascii="Lato" w:hAnsi="Lato" w:cs="Arial"/>
                <w:b/>
                <w:sz w:val="22"/>
                <w:szCs w:val="22"/>
              </w:rPr>
            </w:pPr>
            <w:r w:rsidRPr="002B1745">
              <w:rPr>
                <w:rFonts w:ascii="Lato" w:hAnsi="Lato" w:cs="Arial"/>
                <w:b/>
                <w:sz w:val="22"/>
                <w:szCs w:val="22"/>
              </w:rPr>
              <w:t>LOCATION</w:t>
            </w:r>
            <w:r w:rsidR="00174203" w:rsidRPr="002B1745">
              <w:rPr>
                <w:rFonts w:ascii="Lato" w:hAnsi="Lato" w:cs="Arial"/>
                <w:b/>
                <w:sz w:val="22"/>
                <w:szCs w:val="22"/>
              </w:rPr>
              <w:t xml:space="preserve">: </w:t>
            </w:r>
            <w:r w:rsidR="008C36E0">
              <w:rPr>
                <w:rFonts w:ascii="Lato" w:hAnsi="Lato" w:cs="Arial"/>
                <w:b/>
                <w:sz w:val="22"/>
                <w:szCs w:val="22"/>
              </w:rPr>
              <w:t xml:space="preserve"> </w:t>
            </w:r>
            <w:r w:rsidR="008C36E0" w:rsidRPr="00A929D2">
              <w:rPr>
                <w:rFonts w:ascii="Lato" w:hAnsi="Lato" w:cs="Arial"/>
                <w:sz w:val="22"/>
                <w:szCs w:val="22"/>
              </w:rPr>
              <w:t>Mogadishu, Somalia with frequent travels to the Eastern and Southern Africa (ESA)</w:t>
            </w:r>
          </w:p>
        </w:tc>
      </w:tr>
      <w:tr w:rsidR="008C36E0" w:rsidRPr="002B1745" w14:paraId="079FAB63" w14:textId="77777777" w:rsidTr="0051469C">
        <w:trPr>
          <w:trHeight w:val="425"/>
        </w:trPr>
        <w:tc>
          <w:tcPr>
            <w:tcW w:w="4253" w:type="dxa"/>
            <w:vMerge w:val="restart"/>
          </w:tcPr>
          <w:p w14:paraId="079FAB60" w14:textId="5BB5E772" w:rsidR="008C36E0" w:rsidRPr="002B1745" w:rsidRDefault="008C36E0" w:rsidP="002E170D">
            <w:pPr>
              <w:tabs>
                <w:tab w:val="left" w:pos="1134"/>
              </w:tabs>
              <w:rPr>
                <w:rFonts w:ascii="Lato" w:hAnsi="Lato" w:cs="Arial"/>
                <w:sz w:val="22"/>
                <w:szCs w:val="22"/>
              </w:rPr>
            </w:pPr>
            <w:r w:rsidRPr="002B1745">
              <w:rPr>
                <w:rFonts w:ascii="Lato" w:hAnsi="Lato" w:cs="Arial"/>
                <w:b/>
                <w:sz w:val="22"/>
                <w:szCs w:val="22"/>
              </w:rPr>
              <w:t>GRADE</w:t>
            </w:r>
            <w:r w:rsidRPr="002B1745">
              <w:rPr>
                <w:rFonts w:ascii="Lato" w:hAnsi="Lato" w:cs="Arial"/>
                <w:sz w:val="22"/>
                <w:szCs w:val="22"/>
              </w:rPr>
              <w:t xml:space="preserve">: </w:t>
            </w:r>
            <w:r w:rsidR="00680B74">
              <w:rPr>
                <w:rFonts w:ascii="Lato" w:hAnsi="Lato" w:cs="Arial"/>
                <w:sz w:val="22"/>
                <w:szCs w:val="22"/>
              </w:rPr>
              <w:t>TBD</w:t>
            </w:r>
          </w:p>
        </w:tc>
        <w:tc>
          <w:tcPr>
            <w:tcW w:w="5291" w:type="dxa"/>
            <w:tcBorders>
              <w:bottom w:val="single" w:sz="4" w:space="0" w:color="auto"/>
            </w:tcBorders>
          </w:tcPr>
          <w:p w14:paraId="079FAB61" w14:textId="0CA7D13B" w:rsidR="008C36E0" w:rsidRPr="002B1745" w:rsidRDefault="008C36E0" w:rsidP="00624CD4">
            <w:pPr>
              <w:tabs>
                <w:tab w:val="left" w:pos="984"/>
              </w:tabs>
              <w:rPr>
                <w:rFonts w:ascii="Lato" w:hAnsi="Lato" w:cs="Arial"/>
                <w:b/>
                <w:sz w:val="22"/>
                <w:szCs w:val="22"/>
              </w:rPr>
            </w:pPr>
            <w:r w:rsidRPr="002B1745">
              <w:rPr>
                <w:rFonts w:ascii="Lato" w:hAnsi="Lato" w:cs="Arial"/>
                <w:b/>
                <w:sz w:val="22"/>
                <w:szCs w:val="22"/>
              </w:rPr>
              <w:t>CONTRACT LENGTH:</w:t>
            </w:r>
            <w:r>
              <w:rPr>
                <w:rFonts w:ascii="Lato" w:hAnsi="Lato" w:cs="Arial"/>
                <w:b/>
                <w:sz w:val="22"/>
                <w:szCs w:val="22"/>
              </w:rPr>
              <w:t xml:space="preserve"> 1 year</w:t>
            </w:r>
          </w:p>
          <w:p w14:paraId="079FAB62" w14:textId="15403443" w:rsidR="008C36E0" w:rsidRPr="002B1745" w:rsidRDefault="008C36E0" w:rsidP="00AE3EDF">
            <w:pPr>
              <w:tabs>
                <w:tab w:val="left" w:pos="984"/>
              </w:tabs>
              <w:rPr>
                <w:rFonts w:ascii="Lato" w:hAnsi="Lato" w:cs="Arial"/>
                <w:b/>
                <w:i/>
                <w:color w:val="808080"/>
                <w:sz w:val="22"/>
                <w:szCs w:val="22"/>
              </w:rPr>
            </w:pPr>
          </w:p>
        </w:tc>
      </w:tr>
      <w:tr w:rsidR="008C36E0" w:rsidRPr="002B1745" w14:paraId="5526F77A" w14:textId="77777777" w:rsidTr="008C36E0">
        <w:trPr>
          <w:trHeight w:val="425"/>
        </w:trPr>
        <w:tc>
          <w:tcPr>
            <w:tcW w:w="4253" w:type="dxa"/>
            <w:vMerge/>
            <w:tcBorders>
              <w:bottom w:val="single" w:sz="4" w:space="0" w:color="auto"/>
            </w:tcBorders>
          </w:tcPr>
          <w:p w14:paraId="0F5D9456" w14:textId="77777777" w:rsidR="008C36E0" w:rsidRPr="002B1745" w:rsidRDefault="008C36E0" w:rsidP="002E170D">
            <w:pPr>
              <w:tabs>
                <w:tab w:val="left" w:pos="1134"/>
              </w:tabs>
              <w:rPr>
                <w:rFonts w:ascii="Lato" w:hAnsi="Lato" w:cs="Arial"/>
                <w:b/>
                <w:sz w:val="22"/>
                <w:szCs w:val="22"/>
              </w:rPr>
            </w:pPr>
          </w:p>
        </w:tc>
        <w:tc>
          <w:tcPr>
            <w:tcW w:w="5291" w:type="dxa"/>
            <w:tcBorders>
              <w:bottom w:val="single" w:sz="4" w:space="0" w:color="auto"/>
            </w:tcBorders>
          </w:tcPr>
          <w:p w14:paraId="14106CB4" w14:textId="3B23C54B" w:rsidR="008C36E0" w:rsidRPr="002B1745" w:rsidRDefault="008C36E0" w:rsidP="00624CD4">
            <w:pPr>
              <w:tabs>
                <w:tab w:val="left" w:pos="984"/>
              </w:tabs>
              <w:rPr>
                <w:rFonts w:ascii="Lato" w:hAnsi="Lato" w:cs="Arial"/>
                <w:b/>
                <w:sz w:val="22"/>
                <w:szCs w:val="22"/>
              </w:rPr>
            </w:pPr>
            <w:r w:rsidRPr="00613839">
              <w:rPr>
                <w:rFonts w:ascii="Lato" w:hAnsi="Lato" w:cs="Arial"/>
                <w:b/>
                <w:sz w:val="22"/>
                <w:szCs w:val="22"/>
                <w:highlight w:val="yellow"/>
              </w:rPr>
              <w:t>CONTRACT TYPE:</w:t>
            </w:r>
            <w:r>
              <w:rPr>
                <w:rFonts w:ascii="Lato" w:hAnsi="Lato" w:cs="Arial"/>
                <w:b/>
                <w:sz w:val="22"/>
                <w:szCs w:val="22"/>
              </w:rPr>
              <w:t xml:space="preserve"> </w:t>
            </w:r>
            <w:r w:rsidR="009F24C5">
              <w:rPr>
                <w:rFonts w:ascii="Lato" w:hAnsi="Lato" w:cs="Arial"/>
                <w:b/>
                <w:sz w:val="22"/>
                <w:szCs w:val="22"/>
              </w:rPr>
              <w:t>National/International</w:t>
            </w:r>
          </w:p>
        </w:tc>
      </w:tr>
      <w:tr w:rsidR="00770638" w:rsidRPr="002B1745" w14:paraId="079FAB6D" w14:textId="77777777" w:rsidTr="00C656C1">
        <w:trPr>
          <w:trHeight w:val="425"/>
        </w:trPr>
        <w:tc>
          <w:tcPr>
            <w:tcW w:w="9544" w:type="dxa"/>
            <w:gridSpan w:val="2"/>
            <w:tcBorders>
              <w:bottom w:val="single" w:sz="4" w:space="0" w:color="auto"/>
            </w:tcBorders>
          </w:tcPr>
          <w:p w14:paraId="079FAB6A" w14:textId="4428A24E" w:rsidR="00D43470" w:rsidRDefault="00770638" w:rsidP="008C36E0">
            <w:pPr>
              <w:tabs>
                <w:tab w:val="left" w:pos="984"/>
              </w:tabs>
              <w:rPr>
                <w:rFonts w:ascii="Lato" w:hAnsi="Lato" w:cs="Arial"/>
                <w:b/>
                <w:sz w:val="22"/>
                <w:szCs w:val="22"/>
              </w:rPr>
            </w:pPr>
            <w:r w:rsidRPr="002B1745">
              <w:rPr>
                <w:rFonts w:ascii="Lato" w:hAnsi="Lato" w:cs="Arial"/>
                <w:b/>
                <w:sz w:val="22"/>
                <w:szCs w:val="22"/>
              </w:rPr>
              <w:t xml:space="preserve">CHILD SAFEGUARDING: </w:t>
            </w:r>
          </w:p>
          <w:p w14:paraId="7AB5901A" w14:textId="77777777" w:rsidR="008C36E0" w:rsidRPr="008C36E0" w:rsidRDefault="008C36E0" w:rsidP="008C36E0">
            <w:pPr>
              <w:tabs>
                <w:tab w:val="left" w:pos="984"/>
              </w:tabs>
              <w:rPr>
                <w:rFonts w:ascii="Lato" w:hAnsi="Lato" w:cs="Arial"/>
                <w:b/>
                <w:sz w:val="22"/>
                <w:szCs w:val="22"/>
              </w:rPr>
            </w:pPr>
          </w:p>
          <w:p w14:paraId="079FAB6B" w14:textId="77777777" w:rsidR="00D43470" w:rsidRPr="002B1745" w:rsidRDefault="00D43470" w:rsidP="00D43470">
            <w:pPr>
              <w:rPr>
                <w:rFonts w:ascii="Lato" w:hAnsi="Lato" w:cs="Arial"/>
                <w:sz w:val="22"/>
                <w:szCs w:val="22"/>
              </w:rPr>
            </w:pPr>
            <w:r w:rsidRPr="002B1745">
              <w:rPr>
                <w:rFonts w:ascii="Lato" w:hAnsi="Lato" w:cs="Arial"/>
                <w:sz w:val="22"/>
                <w:szCs w:val="22"/>
                <w:lang w:val="en-US"/>
              </w:rPr>
              <w:t xml:space="preserve">Level 3:  the post holder will have contact with children and/or young people </w:t>
            </w:r>
            <w:r w:rsidRPr="002B1745">
              <w:rPr>
                <w:rFonts w:ascii="Lato" w:hAnsi="Lato" w:cs="Arial"/>
                <w:i/>
                <w:iCs/>
                <w:sz w:val="22"/>
                <w:szCs w:val="22"/>
                <w:u w:val="single"/>
                <w:lang w:val="en-US"/>
              </w:rPr>
              <w:t>either</w:t>
            </w:r>
            <w:r w:rsidRPr="002B1745">
              <w:rPr>
                <w:rFonts w:ascii="Lato" w:hAnsi="Lato" w:cs="Arial"/>
                <w:sz w:val="22"/>
                <w:szCs w:val="22"/>
                <w:lang w:val="en-US"/>
              </w:rPr>
              <w:t xml:space="preserve"> frequently </w:t>
            </w:r>
            <w:r w:rsidRPr="002B1745">
              <w:rPr>
                <w:rFonts w:ascii="Lato" w:hAnsi="Lato" w:cs="Arial"/>
                <w:sz w:val="22"/>
                <w:szCs w:val="22"/>
              </w:rPr>
              <w:t xml:space="preserve">(e.g. once a week or more) </w:t>
            </w:r>
            <w:r w:rsidRPr="002B1745">
              <w:rPr>
                <w:rFonts w:ascii="Lato" w:hAnsi="Lato" w:cs="Arial"/>
                <w:sz w:val="22"/>
                <w:szCs w:val="22"/>
                <w:u w:val="single"/>
              </w:rPr>
              <w:t>or</w:t>
            </w:r>
            <w:r w:rsidRPr="002B1745">
              <w:rPr>
                <w:rFonts w:ascii="Lato" w:hAnsi="Lato" w:cs="Arial"/>
                <w:sz w:val="22"/>
                <w:szCs w:val="22"/>
              </w:rPr>
              <w:t xml:space="preserve"> intensively (e.g. four days in one month or more or overnight) because they work country programs; or ar</w:t>
            </w:r>
            <w:r w:rsidR="00EF20E6" w:rsidRPr="002B1745">
              <w:rPr>
                <w:rFonts w:ascii="Lato" w:hAnsi="Lato" w:cs="Arial"/>
                <w:sz w:val="22"/>
                <w:szCs w:val="22"/>
              </w:rPr>
              <w:t>e visiting country programs; or</w:t>
            </w:r>
            <w:r w:rsidRPr="002B1745">
              <w:rPr>
                <w:rFonts w:ascii="Lato" w:hAnsi="Lato" w:cs="Arial"/>
                <w:sz w:val="22"/>
                <w:szCs w:val="22"/>
              </w:rPr>
              <w:t xml:space="preserve"> because they are responsible for implementing the police checking/vetting process staff.</w:t>
            </w:r>
          </w:p>
          <w:p w14:paraId="079FAB6C" w14:textId="77777777" w:rsidR="00770638" w:rsidRPr="002B1745" w:rsidRDefault="00770638">
            <w:pPr>
              <w:tabs>
                <w:tab w:val="left" w:pos="984"/>
              </w:tabs>
              <w:rPr>
                <w:rFonts w:ascii="Lato" w:hAnsi="Lato" w:cs="Arial"/>
                <w:sz w:val="22"/>
                <w:szCs w:val="22"/>
              </w:rPr>
            </w:pPr>
          </w:p>
        </w:tc>
      </w:tr>
      <w:tr w:rsidR="00174203" w:rsidRPr="002B1745" w14:paraId="079FAB72" w14:textId="77777777" w:rsidTr="00C656C1">
        <w:trPr>
          <w:trHeight w:val="1765"/>
        </w:trPr>
        <w:tc>
          <w:tcPr>
            <w:tcW w:w="9544" w:type="dxa"/>
            <w:gridSpan w:val="2"/>
          </w:tcPr>
          <w:p w14:paraId="079FAB6E" w14:textId="3C6FA122" w:rsidR="008C36E0" w:rsidRDefault="002B21C3" w:rsidP="008C36E0">
            <w:pPr>
              <w:rPr>
                <w:rFonts w:ascii="Lato" w:hAnsi="Lato" w:cs="Arial"/>
                <w:b/>
                <w:i/>
                <w:color w:val="808080"/>
                <w:sz w:val="22"/>
                <w:szCs w:val="22"/>
              </w:rPr>
            </w:pPr>
            <w:r w:rsidRPr="002B1745">
              <w:rPr>
                <w:rFonts w:ascii="Lato" w:hAnsi="Lato" w:cs="Arial"/>
                <w:b/>
                <w:sz w:val="22"/>
                <w:szCs w:val="22"/>
              </w:rPr>
              <w:t>ROLE</w:t>
            </w:r>
            <w:r w:rsidR="00D5085F" w:rsidRPr="002B1745">
              <w:rPr>
                <w:rFonts w:ascii="Lato" w:hAnsi="Lato" w:cs="Arial"/>
                <w:b/>
                <w:sz w:val="22"/>
                <w:szCs w:val="22"/>
              </w:rPr>
              <w:t xml:space="preserve"> PURPOSE</w:t>
            </w:r>
            <w:r w:rsidRPr="002B1745">
              <w:rPr>
                <w:rFonts w:ascii="Lato" w:hAnsi="Lato" w:cs="Arial"/>
                <w:b/>
                <w:sz w:val="22"/>
                <w:szCs w:val="22"/>
              </w:rPr>
              <w:t>:</w:t>
            </w:r>
          </w:p>
          <w:p w14:paraId="15F948A2" w14:textId="77777777" w:rsidR="008C36E0" w:rsidRDefault="008C36E0" w:rsidP="008C36E0">
            <w:pPr>
              <w:rPr>
                <w:rFonts w:ascii="Lato" w:hAnsi="Lato" w:cs="Arial"/>
                <w:b/>
                <w:i/>
                <w:color w:val="808080"/>
                <w:sz w:val="22"/>
                <w:szCs w:val="22"/>
              </w:rPr>
            </w:pPr>
          </w:p>
          <w:p w14:paraId="36C71E21" w14:textId="77777777" w:rsidR="008C36E0" w:rsidRPr="00A929D2" w:rsidRDefault="008C36E0" w:rsidP="008C36E0">
            <w:pPr>
              <w:jc w:val="both"/>
              <w:rPr>
                <w:rFonts w:ascii="Lato" w:hAnsi="Lato"/>
                <w:sz w:val="22"/>
                <w:szCs w:val="22"/>
                <w:lang w:val="en-US"/>
              </w:rPr>
            </w:pPr>
            <w:r w:rsidRPr="00A929D2">
              <w:rPr>
                <w:rFonts w:ascii="Lato" w:hAnsi="Lato"/>
                <w:sz w:val="22"/>
                <w:szCs w:val="22"/>
                <w:lang w:val="en-US"/>
              </w:rPr>
              <w:t>The Regional Humanitarian Context Analyst position is a key member of the East and Southern Africa regional humanitarian team (for 50% of his/her time) and is embedded within the Somalia country office (working on Somalia for the remaining 50% of his/her time). The role will be leading the production and uptake of humanitarian analyses at regional and country level. Delivering high-quality analyses upon request from internal strategic entities within the ESA region, as well as from external partners when relevant, the role holder is also responsible for growing a bespoke organizational capability dedicated to context analysis in complex crises by supporting in-country Analysts across the region and providing technical support across a broad range of functions. The Regional Analyst is also expected to influence an external, region-based, network of senior Humanitarian functions among peer organizations and institutions. Within Somalia, the role holder is to support the Somali Disaster Management Agency (SoDMA) with technical support as required to strengthen the government’s capacity and efforts.</w:t>
            </w:r>
          </w:p>
          <w:p w14:paraId="0FDBB188" w14:textId="77777777" w:rsidR="008C36E0" w:rsidRPr="00A929D2" w:rsidRDefault="008C36E0" w:rsidP="008C36E0">
            <w:pPr>
              <w:jc w:val="both"/>
              <w:rPr>
                <w:rFonts w:ascii="Lato" w:hAnsi="Lato"/>
                <w:sz w:val="22"/>
                <w:szCs w:val="22"/>
                <w:lang w:val="en-US"/>
              </w:rPr>
            </w:pPr>
          </w:p>
          <w:p w14:paraId="7A366434" w14:textId="77777777" w:rsidR="008C36E0" w:rsidRPr="00A929D2" w:rsidRDefault="008C36E0" w:rsidP="008C36E0">
            <w:pPr>
              <w:jc w:val="both"/>
              <w:rPr>
                <w:rFonts w:ascii="Lato" w:hAnsi="Lato"/>
                <w:sz w:val="22"/>
                <w:szCs w:val="22"/>
                <w:lang w:val="en-US"/>
              </w:rPr>
            </w:pPr>
            <w:r w:rsidRPr="00A929D2">
              <w:rPr>
                <w:rFonts w:ascii="Lato" w:hAnsi="Lato"/>
                <w:sz w:val="22"/>
                <w:szCs w:val="22"/>
                <w:lang w:val="en-US"/>
              </w:rPr>
              <w:t>The Regional Analyst is part of Save the Children’s Somalia country office humanitarian team and works closely with the Context Analysis and Foresight Unit (CAFU), a technical network coordinated at global level by Save the Children’s Chief Analyst - a position embedded in the global Crisis Anticipation and Response Team.</w:t>
            </w:r>
          </w:p>
          <w:p w14:paraId="13AF08C4" w14:textId="77777777" w:rsidR="008C36E0" w:rsidRPr="00A929D2" w:rsidRDefault="008C36E0" w:rsidP="008C36E0">
            <w:pPr>
              <w:jc w:val="both"/>
              <w:rPr>
                <w:rFonts w:ascii="Lato" w:hAnsi="Lato"/>
                <w:sz w:val="22"/>
                <w:szCs w:val="22"/>
                <w:lang w:val="en-US"/>
              </w:rPr>
            </w:pPr>
          </w:p>
          <w:p w14:paraId="78043C7E" w14:textId="2F15983B" w:rsidR="008C36E0" w:rsidRDefault="008C36E0" w:rsidP="008C36E0">
            <w:pPr>
              <w:rPr>
                <w:rFonts w:ascii="Lato" w:hAnsi="Lato"/>
                <w:sz w:val="22"/>
                <w:szCs w:val="22"/>
                <w:lang w:val="en-US"/>
              </w:rPr>
            </w:pPr>
            <w:r w:rsidRPr="00A929D2">
              <w:rPr>
                <w:rFonts w:ascii="Lato" w:hAnsi="Lato"/>
                <w:sz w:val="22"/>
                <w:szCs w:val="22"/>
                <w:lang w:val="en-US"/>
              </w:rPr>
              <w:t>The role provides timely, quality and tailored contextual and foresight analysis for the purpose of informing strategic decision-making at national, regional, and global levels, as well as enhancing the organization’s response capacity, preparedness and comparative advantage, with a focus on East and Southern Africa countries</w:t>
            </w:r>
            <w:r>
              <w:rPr>
                <w:rFonts w:ascii="Lato" w:hAnsi="Lato"/>
                <w:sz w:val="22"/>
                <w:szCs w:val="22"/>
                <w:lang w:val="en-US"/>
              </w:rPr>
              <w:t>.</w:t>
            </w:r>
          </w:p>
          <w:p w14:paraId="6EC35AE7" w14:textId="77777777" w:rsidR="008C36E0" w:rsidRPr="008C36E0" w:rsidRDefault="008C36E0" w:rsidP="008C36E0">
            <w:pPr>
              <w:rPr>
                <w:rFonts w:ascii="Lato" w:hAnsi="Lato" w:cs="Arial"/>
                <w:bCs/>
                <w:iCs/>
                <w:color w:val="808080"/>
                <w:sz w:val="22"/>
                <w:szCs w:val="22"/>
              </w:rPr>
            </w:pPr>
          </w:p>
          <w:p w14:paraId="079FAB70" w14:textId="63076E0B" w:rsidR="00480895" w:rsidRPr="002B1745" w:rsidRDefault="00480895" w:rsidP="00480895">
            <w:pPr>
              <w:rPr>
                <w:rFonts w:ascii="Lato" w:hAnsi="Lato" w:cs="Arial"/>
                <w:sz w:val="22"/>
                <w:szCs w:val="22"/>
              </w:rPr>
            </w:pPr>
            <w:r w:rsidRPr="002B1745">
              <w:rPr>
                <w:rFonts w:ascii="Lato" w:hAnsi="Lato" w:cs="Arial"/>
                <w:sz w:val="22"/>
                <w:szCs w:val="22"/>
              </w:rPr>
              <w:t xml:space="preserve">In the event of a major humanitarian emergency, the role holder will be expected to work outside the normal </w:t>
            </w:r>
            <w:r w:rsidR="00F5619F" w:rsidRPr="002B1745">
              <w:rPr>
                <w:rFonts w:ascii="Lato" w:hAnsi="Lato" w:cs="Arial"/>
                <w:sz w:val="22"/>
                <w:szCs w:val="22"/>
              </w:rPr>
              <w:t xml:space="preserve">role profile </w:t>
            </w:r>
            <w:r w:rsidRPr="002B1745">
              <w:rPr>
                <w:rFonts w:ascii="Lato" w:hAnsi="Lato" w:cs="Arial"/>
                <w:sz w:val="22"/>
                <w:szCs w:val="22"/>
              </w:rPr>
              <w:t>and be able to vary working hours accordingly.</w:t>
            </w:r>
          </w:p>
          <w:p w14:paraId="079FAB71" w14:textId="77777777" w:rsidR="00480895" w:rsidRPr="002B1745" w:rsidRDefault="00480895" w:rsidP="00556B70">
            <w:pPr>
              <w:rPr>
                <w:rFonts w:ascii="Lato" w:hAnsi="Lato" w:cs="Arial"/>
                <w:color w:val="FF0000"/>
                <w:sz w:val="22"/>
                <w:szCs w:val="22"/>
              </w:rPr>
            </w:pPr>
          </w:p>
        </w:tc>
      </w:tr>
      <w:tr w:rsidR="00174203" w:rsidRPr="002B1745" w14:paraId="079FAB80" w14:textId="77777777" w:rsidTr="00C656C1">
        <w:trPr>
          <w:trHeight w:val="1275"/>
        </w:trPr>
        <w:tc>
          <w:tcPr>
            <w:tcW w:w="9544" w:type="dxa"/>
            <w:gridSpan w:val="2"/>
          </w:tcPr>
          <w:p w14:paraId="079FAB73" w14:textId="77777777" w:rsidR="00FC67B6" w:rsidRPr="008C36E0" w:rsidRDefault="002B21C3" w:rsidP="00FC67B6">
            <w:pPr>
              <w:tabs>
                <w:tab w:val="left" w:pos="2410"/>
              </w:tabs>
              <w:snapToGrid w:val="0"/>
              <w:rPr>
                <w:rFonts w:ascii="Lato" w:hAnsi="Lato" w:cs="Arial"/>
                <w:b/>
                <w:i/>
                <w:color w:val="808080"/>
                <w:sz w:val="22"/>
                <w:szCs w:val="22"/>
              </w:rPr>
            </w:pPr>
            <w:r w:rsidRPr="008C36E0">
              <w:rPr>
                <w:rFonts w:ascii="Lato" w:hAnsi="Lato" w:cs="Arial"/>
                <w:b/>
                <w:sz w:val="22"/>
                <w:szCs w:val="22"/>
              </w:rPr>
              <w:t>SCOPE OF ROLE</w:t>
            </w:r>
            <w:r w:rsidR="00174203" w:rsidRPr="008C36E0">
              <w:rPr>
                <w:rFonts w:ascii="Lato" w:hAnsi="Lato" w:cs="Arial"/>
                <w:b/>
                <w:sz w:val="22"/>
                <w:szCs w:val="22"/>
              </w:rPr>
              <w:t xml:space="preserve">: </w:t>
            </w:r>
          </w:p>
          <w:p w14:paraId="079FAB74" w14:textId="77777777" w:rsidR="00174203" w:rsidRPr="008C36E0" w:rsidRDefault="00174203">
            <w:pPr>
              <w:tabs>
                <w:tab w:val="left" w:pos="2410"/>
              </w:tabs>
              <w:rPr>
                <w:rFonts w:ascii="Lato" w:hAnsi="Lato" w:cs="Arial"/>
                <w:b/>
                <w:i/>
                <w:color w:val="808080"/>
                <w:sz w:val="22"/>
                <w:szCs w:val="22"/>
              </w:rPr>
            </w:pPr>
          </w:p>
          <w:p w14:paraId="079FAB75" w14:textId="2E02E5DA" w:rsidR="00174203" w:rsidRPr="008C36E0" w:rsidRDefault="00174203">
            <w:pPr>
              <w:rPr>
                <w:rFonts w:ascii="Lato" w:hAnsi="Lato" w:cs="Arial"/>
                <w:b/>
                <w:i/>
                <w:color w:val="808080"/>
                <w:sz w:val="22"/>
                <w:szCs w:val="22"/>
              </w:rPr>
            </w:pPr>
            <w:r w:rsidRPr="008C36E0">
              <w:rPr>
                <w:rFonts w:ascii="Lato" w:hAnsi="Lato" w:cs="Arial"/>
                <w:b/>
                <w:sz w:val="22"/>
                <w:szCs w:val="22"/>
              </w:rPr>
              <w:t xml:space="preserve">Reports to: </w:t>
            </w:r>
            <w:r w:rsidR="008C36E0">
              <w:rPr>
                <w:rFonts w:ascii="Lato" w:hAnsi="Lato" w:cs="Arial"/>
                <w:b/>
                <w:sz w:val="22"/>
                <w:szCs w:val="22"/>
              </w:rPr>
              <w:t xml:space="preserve"> </w:t>
            </w:r>
            <w:r w:rsidR="008C36E0" w:rsidRPr="00A929D2">
              <w:rPr>
                <w:rFonts w:ascii="Lato" w:hAnsi="Lato"/>
                <w:sz w:val="22"/>
                <w:szCs w:val="22"/>
                <w:lang w:val="en-US"/>
              </w:rPr>
              <w:t>Regional Emergencies Director (50%) and Somalia Country Office Humanitarian Director (50%)</w:t>
            </w:r>
          </w:p>
          <w:p w14:paraId="079FAB77" w14:textId="45024A8B" w:rsidR="00D64C59" w:rsidRDefault="00174203">
            <w:pPr>
              <w:rPr>
                <w:rFonts w:ascii="Lato" w:hAnsi="Lato" w:cs="Arial"/>
                <w:b/>
                <w:color w:val="808080"/>
                <w:sz w:val="22"/>
                <w:szCs w:val="22"/>
              </w:rPr>
            </w:pPr>
            <w:r w:rsidRPr="008C36E0">
              <w:rPr>
                <w:rFonts w:ascii="Lato" w:hAnsi="Lato" w:cs="Arial"/>
                <w:b/>
                <w:sz w:val="22"/>
                <w:szCs w:val="22"/>
              </w:rPr>
              <w:t>Staff reporting to this post:</w:t>
            </w:r>
            <w:r w:rsidR="00D64C59" w:rsidRPr="008C36E0">
              <w:rPr>
                <w:rFonts w:ascii="Lato" w:hAnsi="Lato" w:cs="Arial"/>
                <w:b/>
                <w:sz w:val="22"/>
                <w:szCs w:val="22"/>
              </w:rPr>
              <w:t xml:space="preserve"> </w:t>
            </w:r>
            <w:r w:rsidR="008C36E0">
              <w:rPr>
                <w:rFonts w:ascii="Lato" w:hAnsi="Lato" w:cs="Arial"/>
                <w:b/>
                <w:color w:val="808080"/>
                <w:sz w:val="22"/>
                <w:szCs w:val="22"/>
              </w:rPr>
              <w:t xml:space="preserve"> None</w:t>
            </w:r>
          </w:p>
          <w:p w14:paraId="0DBA2C58" w14:textId="77777777" w:rsidR="008C36E0" w:rsidRPr="008C36E0" w:rsidRDefault="008C36E0">
            <w:pPr>
              <w:rPr>
                <w:rFonts w:ascii="Lato" w:hAnsi="Lato" w:cs="Arial"/>
                <w:b/>
                <w:sz w:val="22"/>
                <w:szCs w:val="22"/>
              </w:rPr>
            </w:pPr>
          </w:p>
          <w:p w14:paraId="079FAB7C" w14:textId="5C32C3CE" w:rsidR="00014716" w:rsidRPr="00BA6FC8" w:rsidRDefault="00014716" w:rsidP="008C36E0">
            <w:pPr>
              <w:rPr>
                <w:rFonts w:ascii="Lato" w:hAnsi="Lato" w:cs="Arial"/>
                <w:sz w:val="22"/>
                <w:szCs w:val="22"/>
                <w:highlight w:val="yellow"/>
              </w:rPr>
            </w:pPr>
            <w:r w:rsidRPr="00BA6FC8">
              <w:rPr>
                <w:rFonts w:ascii="Lato" w:hAnsi="Lato" w:cs="Arial"/>
                <w:sz w:val="22"/>
                <w:szCs w:val="22"/>
                <w:highlight w:val="yellow"/>
              </w:rPr>
              <w:t xml:space="preserve"> </w:t>
            </w:r>
          </w:p>
          <w:p w14:paraId="079FAB7D" w14:textId="77777777" w:rsidR="00E13755" w:rsidRPr="00BA6FC8" w:rsidRDefault="00E13755">
            <w:pPr>
              <w:rPr>
                <w:rFonts w:ascii="Lato" w:hAnsi="Lato" w:cs="Arial"/>
                <w:b/>
                <w:i/>
                <w:color w:val="808080"/>
                <w:sz w:val="22"/>
                <w:szCs w:val="22"/>
                <w:highlight w:val="yellow"/>
              </w:rPr>
            </w:pPr>
          </w:p>
          <w:p w14:paraId="079FAB7E" w14:textId="3B9CC012" w:rsidR="00E13755" w:rsidRPr="002B1745" w:rsidRDefault="00E13755" w:rsidP="00E13755">
            <w:pPr>
              <w:spacing w:line="276" w:lineRule="auto"/>
              <w:rPr>
                <w:rFonts w:ascii="Lato" w:hAnsi="Lato" w:cs="Segoe UI"/>
                <w:sz w:val="22"/>
                <w:szCs w:val="22"/>
              </w:rPr>
            </w:pPr>
            <w:r w:rsidRPr="00BA6FC8">
              <w:rPr>
                <w:rFonts w:ascii="Lato" w:hAnsi="Lato" w:cs="Segoe UI"/>
                <w:sz w:val="22"/>
                <w:szCs w:val="22"/>
              </w:rPr>
              <w:lastRenderedPageBreak/>
              <w:t xml:space="preserve">Save the Children operates across all zones in Somalia and currently has three main area offices and additional 11 field offices. Programmatically Somalia is a large Country Office with more than $110million annual budget and staff over </w:t>
            </w:r>
            <w:r w:rsidR="00BA6FC8" w:rsidRPr="00BA6FC8">
              <w:rPr>
                <w:rFonts w:ascii="Lato" w:hAnsi="Lato" w:cs="Segoe UI"/>
                <w:sz w:val="22"/>
                <w:szCs w:val="22"/>
              </w:rPr>
              <w:t>700 staff</w:t>
            </w:r>
            <w:r w:rsidRPr="00BA6FC8">
              <w:rPr>
                <w:rFonts w:ascii="Lato" w:hAnsi="Lato" w:cs="Segoe UI"/>
                <w:sz w:val="22"/>
                <w:szCs w:val="22"/>
              </w:rPr>
              <w:t>.</w:t>
            </w:r>
            <w:r w:rsidRPr="002B1745">
              <w:rPr>
                <w:rFonts w:ascii="Lato" w:hAnsi="Lato" w:cs="Segoe UI"/>
                <w:sz w:val="22"/>
                <w:szCs w:val="22"/>
              </w:rPr>
              <w:t xml:space="preserve"> </w:t>
            </w:r>
          </w:p>
          <w:p w14:paraId="079FAB7F" w14:textId="77777777" w:rsidR="00C34EA2" w:rsidRPr="002B1745" w:rsidRDefault="00C34EA2">
            <w:pPr>
              <w:rPr>
                <w:rFonts w:ascii="Lato" w:hAnsi="Lato" w:cs="Arial"/>
                <w:b/>
                <w:sz w:val="22"/>
                <w:szCs w:val="22"/>
              </w:rPr>
            </w:pPr>
          </w:p>
        </w:tc>
      </w:tr>
      <w:tr w:rsidR="008C36E0" w:rsidRPr="002B1745" w14:paraId="079FAB84" w14:textId="77777777" w:rsidTr="00C656C1">
        <w:tc>
          <w:tcPr>
            <w:tcW w:w="9544" w:type="dxa"/>
            <w:gridSpan w:val="2"/>
          </w:tcPr>
          <w:p w14:paraId="0B1DB4EC" w14:textId="77777777" w:rsidR="008C36E0" w:rsidRPr="00A929D2" w:rsidRDefault="008C36E0" w:rsidP="008C36E0">
            <w:pPr>
              <w:tabs>
                <w:tab w:val="left" w:pos="2977"/>
                <w:tab w:val="left" w:pos="5954"/>
              </w:tabs>
              <w:snapToGrid w:val="0"/>
              <w:rPr>
                <w:rFonts w:ascii="Lato" w:hAnsi="Lato" w:cs="Arial"/>
                <w:b/>
                <w:sz w:val="22"/>
                <w:szCs w:val="22"/>
              </w:rPr>
            </w:pPr>
            <w:r w:rsidRPr="00A929D2">
              <w:rPr>
                <w:rFonts w:ascii="Lato" w:hAnsi="Lato" w:cs="Arial"/>
                <w:b/>
                <w:sz w:val="22"/>
                <w:szCs w:val="22"/>
              </w:rPr>
              <w:lastRenderedPageBreak/>
              <w:t>KEY AREAS OF RESPONSIBILITY:</w:t>
            </w:r>
          </w:p>
          <w:p w14:paraId="0DB28519" w14:textId="77777777" w:rsidR="008C36E0" w:rsidRPr="00A929D2" w:rsidRDefault="008C36E0" w:rsidP="008C36E0">
            <w:pPr>
              <w:tabs>
                <w:tab w:val="left" w:pos="2977"/>
                <w:tab w:val="left" w:pos="5954"/>
              </w:tabs>
              <w:snapToGrid w:val="0"/>
              <w:rPr>
                <w:rFonts w:ascii="Lato" w:hAnsi="Lato" w:cs="Arial"/>
                <w:b/>
                <w:sz w:val="22"/>
                <w:szCs w:val="22"/>
              </w:rPr>
            </w:pPr>
          </w:p>
          <w:p w14:paraId="14A8CEE0" w14:textId="77777777" w:rsidR="008C36E0" w:rsidRPr="00A929D2" w:rsidRDefault="008C36E0" w:rsidP="008C36E0">
            <w:pPr>
              <w:pStyle w:val="ListParagraph"/>
              <w:numPr>
                <w:ilvl w:val="0"/>
                <w:numId w:val="35"/>
              </w:numPr>
              <w:spacing w:line="259" w:lineRule="auto"/>
              <w:rPr>
                <w:rFonts w:ascii="Lato" w:hAnsi="Lato"/>
              </w:rPr>
            </w:pPr>
            <w:r w:rsidRPr="00A929D2">
              <w:rPr>
                <w:rFonts w:ascii="Lato" w:hAnsi="Lato"/>
                <w:lang w:val="en-GB"/>
              </w:rPr>
              <w:t>Monitor</w:t>
            </w:r>
            <w:r w:rsidRPr="00A929D2">
              <w:rPr>
                <w:rFonts w:ascii="Lato" w:hAnsi="Lato"/>
              </w:rPr>
              <w:t xml:space="preserve"> contextual developments in the ESA region (trend analysis, key actors, drivers of change) through specialized and relevant sources (mainly but not exclusively open-source), both international and national, and produce regular and one-off reports for use by country offices, the regional office and the Save the Children movement</w:t>
            </w:r>
          </w:p>
          <w:p w14:paraId="2B152318" w14:textId="77777777" w:rsidR="008C36E0" w:rsidRPr="00A929D2" w:rsidRDefault="008C36E0" w:rsidP="008C36E0">
            <w:pPr>
              <w:pStyle w:val="ListParagraph"/>
              <w:numPr>
                <w:ilvl w:val="0"/>
                <w:numId w:val="35"/>
              </w:numPr>
              <w:spacing w:line="259" w:lineRule="auto"/>
              <w:rPr>
                <w:rFonts w:ascii="Lato" w:hAnsi="Lato"/>
              </w:rPr>
            </w:pPr>
            <w:r w:rsidRPr="00A929D2">
              <w:rPr>
                <w:rFonts w:ascii="Lato" w:hAnsi="Lato"/>
              </w:rPr>
              <w:t xml:space="preserve">Coordinate context monitoring with CO Analysts when such positions exist across ESA </w:t>
            </w:r>
          </w:p>
          <w:p w14:paraId="64F020A4" w14:textId="77777777" w:rsidR="008C36E0" w:rsidRPr="00A929D2" w:rsidRDefault="008C36E0" w:rsidP="008C36E0">
            <w:pPr>
              <w:pStyle w:val="ListParagraph"/>
              <w:numPr>
                <w:ilvl w:val="0"/>
                <w:numId w:val="35"/>
              </w:numPr>
              <w:spacing w:line="259" w:lineRule="auto"/>
              <w:rPr>
                <w:rFonts w:ascii="Lato" w:hAnsi="Lato"/>
              </w:rPr>
            </w:pPr>
            <w:r w:rsidRPr="00A929D2">
              <w:rPr>
                <w:rFonts w:ascii="Lato" w:hAnsi="Lato"/>
              </w:rPr>
              <w:t>Engage with and support short-term deployments of Humanitarian Analysts through the GEHSP in the ESA region. Potentially deploy through the GEHSP if relevant</w:t>
            </w:r>
          </w:p>
          <w:p w14:paraId="6B211402" w14:textId="77777777" w:rsidR="008C36E0" w:rsidRPr="00A929D2" w:rsidRDefault="008C36E0" w:rsidP="008C36E0">
            <w:pPr>
              <w:pStyle w:val="ListParagraph"/>
              <w:numPr>
                <w:ilvl w:val="0"/>
                <w:numId w:val="35"/>
              </w:numPr>
              <w:spacing w:line="259" w:lineRule="auto"/>
              <w:rPr>
                <w:rFonts w:ascii="Lato" w:hAnsi="Lato"/>
              </w:rPr>
            </w:pPr>
            <w:r w:rsidRPr="00A929D2">
              <w:rPr>
                <w:rFonts w:ascii="Lato" w:hAnsi="Lato"/>
              </w:rPr>
              <w:t>Upon request, provide support to country offices in East and Southern Africa in the development of humanitarian response strategies, contingency plans, emergency preparedness plans and early warning mechanisms with sound humanitarian analysis and scenario-based recommendations.</w:t>
            </w:r>
          </w:p>
          <w:p w14:paraId="6F098829" w14:textId="77777777" w:rsidR="008C36E0" w:rsidRPr="00A929D2" w:rsidRDefault="008C36E0" w:rsidP="008C36E0">
            <w:pPr>
              <w:pStyle w:val="ListParagraph"/>
              <w:numPr>
                <w:ilvl w:val="0"/>
                <w:numId w:val="35"/>
              </w:numPr>
              <w:spacing w:line="259" w:lineRule="auto"/>
              <w:rPr>
                <w:rFonts w:ascii="Lato" w:hAnsi="Lato"/>
              </w:rPr>
            </w:pPr>
            <w:r w:rsidRPr="00A929D2">
              <w:rPr>
                <w:rFonts w:ascii="Lato" w:hAnsi="Lato"/>
              </w:rPr>
              <w:t>Provide sound analysis (scenarios, actor analysis, conflict analysis, etc.) on key topics, upon request from country offices, the region, the SC movement, and/or as part of CAFU’s collaborative work</w:t>
            </w:r>
          </w:p>
          <w:p w14:paraId="5BB97B6A" w14:textId="77777777" w:rsidR="008C36E0" w:rsidRPr="00A929D2" w:rsidRDefault="008C36E0" w:rsidP="008C36E0">
            <w:pPr>
              <w:pStyle w:val="ListParagraph"/>
              <w:numPr>
                <w:ilvl w:val="0"/>
                <w:numId w:val="35"/>
              </w:numPr>
              <w:spacing w:line="259" w:lineRule="auto"/>
              <w:rPr>
                <w:rFonts w:ascii="Lato" w:hAnsi="Lato"/>
              </w:rPr>
            </w:pPr>
            <w:r w:rsidRPr="00A929D2">
              <w:rPr>
                <w:rFonts w:ascii="Lato" w:hAnsi="Lato"/>
              </w:rPr>
              <w:t>Share analysis in multiple formats (documents, presentations, workshops, and webinars) for key stakeholders within the organization, including SC Members, and beyond (e.g. donor representatives), contributing to humanitarian, operational, and advocacy strategy design and key stakeholder engagement</w:t>
            </w:r>
          </w:p>
          <w:p w14:paraId="75C06859" w14:textId="77777777" w:rsidR="008C36E0" w:rsidRPr="00A929D2" w:rsidRDefault="008C36E0" w:rsidP="008C36E0">
            <w:pPr>
              <w:pStyle w:val="ListParagraph"/>
              <w:numPr>
                <w:ilvl w:val="0"/>
                <w:numId w:val="35"/>
              </w:numPr>
              <w:spacing w:line="259" w:lineRule="auto"/>
              <w:rPr>
                <w:rFonts w:ascii="Lato" w:hAnsi="Lato"/>
              </w:rPr>
            </w:pPr>
            <w:r w:rsidRPr="00A929D2">
              <w:rPr>
                <w:rFonts w:ascii="Lato" w:hAnsi="Lato"/>
              </w:rPr>
              <w:t>Provide methodological support (including training, peer review, content development) to Save the Children’s regional and country teams in relation to contextual analysis and humanitarian foresight and government entities as required</w:t>
            </w:r>
          </w:p>
          <w:p w14:paraId="71700C2D" w14:textId="77777777" w:rsidR="008C36E0" w:rsidRPr="00A929D2" w:rsidRDefault="008C36E0" w:rsidP="008C36E0">
            <w:pPr>
              <w:pStyle w:val="ListParagraph"/>
              <w:numPr>
                <w:ilvl w:val="0"/>
                <w:numId w:val="35"/>
              </w:numPr>
              <w:spacing w:line="259" w:lineRule="auto"/>
              <w:contextualSpacing/>
              <w:rPr>
                <w:rFonts w:ascii="Lato" w:hAnsi="Lato"/>
              </w:rPr>
            </w:pPr>
            <w:r w:rsidRPr="00A929D2">
              <w:rPr>
                <w:rFonts w:ascii="Lato" w:hAnsi="Lato"/>
              </w:rPr>
              <w:t>Contribute to demonstrate the impact of analysis on better quality programming and humanitarian advocacy by documenting requests and use of analysis in ESA region</w:t>
            </w:r>
          </w:p>
          <w:p w14:paraId="728FFF46" w14:textId="77777777" w:rsidR="008C36E0" w:rsidRPr="00A929D2" w:rsidRDefault="008C36E0" w:rsidP="008C36E0">
            <w:pPr>
              <w:pStyle w:val="ListParagraph"/>
              <w:numPr>
                <w:ilvl w:val="0"/>
                <w:numId w:val="35"/>
              </w:numPr>
              <w:spacing w:line="259" w:lineRule="auto"/>
              <w:rPr>
                <w:rFonts w:ascii="Lato" w:hAnsi="Lato"/>
              </w:rPr>
            </w:pPr>
            <w:r w:rsidRPr="00A929D2">
              <w:rPr>
                <w:rFonts w:ascii="Lato" w:hAnsi="Lato"/>
              </w:rPr>
              <w:t>Promote and profile Save the Children’s analysis and foresight within the wider humanitarian community with child-focused analyses</w:t>
            </w:r>
          </w:p>
          <w:p w14:paraId="1941140C" w14:textId="77777777" w:rsidR="008C36E0" w:rsidRPr="00A929D2" w:rsidRDefault="008C36E0" w:rsidP="008C36E0">
            <w:pPr>
              <w:pStyle w:val="ListParagraph"/>
              <w:numPr>
                <w:ilvl w:val="0"/>
                <w:numId w:val="35"/>
              </w:numPr>
              <w:spacing w:line="259" w:lineRule="auto"/>
              <w:rPr>
                <w:rFonts w:ascii="Lato" w:hAnsi="Lato"/>
              </w:rPr>
            </w:pPr>
            <w:r w:rsidRPr="00A929D2">
              <w:rPr>
                <w:rFonts w:ascii="Lato" w:hAnsi="Lato"/>
              </w:rPr>
              <w:t xml:space="preserve">Support conflict sensitivity mainstreaming in Save the Children’s programming in ESA country and regional programming, collaborating with other conflict sensitivity focal points </w:t>
            </w:r>
          </w:p>
          <w:p w14:paraId="70AACE53" w14:textId="77777777" w:rsidR="008C36E0" w:rsidRPr="00A929D2" w:rsidRDefault="008C36E0" w:rsidP="008C36E0">
            <w:pPr>
              <w:pStyle w:val="ListParagraph"/>
              <w:numPr>
                <w:ilvl w:val="0"/>
                <w:numId w:val="35"/>
              </w:numPr>
              <w:spacing w:line="259" w:lineRule="auto"/>
              <w:rPr>
                <w:rFonts w:ascii="Lato" w:hAnsi="Lato"/>
              </w:rPr>
            </w:pPr>
            <w:r w:rsidRPr="00A929D2">
              <w:rPr>
                <w:rFonts w:ascii="Lato" w:hAnsi="Lato"/>
              </w:rPr>
              <w:t>Participate and contribute to multidisciplinary working groups and taskforces within the region and Save the Children movement</w:t>
            </w:r>
          </w:p>
          <w:p w14:paraId="63BA284E" w14:textId="77777777" w:rsidR="008C36E0" w:rsidRPr="00A929D2" w:rsidRDefault="008C36E0" w:rsidP="008C36E0">
            <w:pPr>
              <w:pStyle w:val="ListParagraph"/>
              <w:numPr>
                <w:ilvl w:val="0"/>
                <w:numId w:val="35"/>
              </w:numPr>
              <w:spacing w:line="259" w:lineRule="auto"/>
              <w:rPr>
                <w:rFonts w:ascii="Lato" w:hAnsi="Lato"/>
              </w:rPr>
            </w:pPr>
            <w:r w:rsidRPr="00A929D2">
              <w:rPr>
                <w:rFonts w:ascii="Lato" w:hAnsi="Lato"/>
              </w:rPr>
              <w:t>Participate and coordinate with external stakeholders (NGOs, academia, think tanks etc.) and inter-agency platforms in exchanging contextual information and conducting joint analysis</w:t>
            </w:r>
          </w:p>
          <w:p w14:paraId="77A936BD" w14:textId="77777777" w:rsidR="008C36E0" w:rsidRPr="00A929D2" w:rsidRDefault="008C36E0" w:rsidP="008C36E0">
            <w:pPr>
              <w:pStyle w:val="ListParagraph"/>
              <w:numPr>
                <w:ilvl w:val="0"/>
                <w:numId w:val="35"/>
              </w:numPr>
              <w:spacing w:after="200" w:line="276" w:lineRule="auto"/>
              <w:contextualSpacing/>
              <w:jc w:val="both"/>
              <w:rPr>
                <w:rFonts w:ascii="Lato" w:hAnsi="Lato"/>
              </w:rPr>
            </w:pPr>
            <w:r w:rsidRPr="00A929D2">
              <w:rPr>
                <w:rFonts w:ascii="Lato" w:hAnsi="Lato"/>
              </w:rPr>
              <w:t>Given the large organizational footprint and ability to respond to localized crisis, the role will strengthen country-level analysis and enable better needs-based decision-making.</w:t>
            </w:r>
          </w:p>
          <w:p w14:paraId="31A5DAE9" w14:textId="77777777" w:rsidR="008C36E0" w:rsidRPr="00A929D2" w:rsidRDefault="008C36E0" w:rsidP="008C36E0">
            <w:pPr>
              <w:pStyle w:val="ListParagraph"/>
              <w:numPr>
                <w:ilvl w:val="0"/>
                <w:numId w:val="35"/>
              </w:numPr>
              <w:spacing w:after="200" w:line="276" w:lineRule="auto"/>
              <w:contextualSpacing/>
              <w:jc w:val="both"/>
              <w:rPr>
                <w:rFonts w:ascii="Lato" w:hAnsi="Lato"/>
              </w:rPr>
            </w:pPr>
            <w:r w:rsidRPr="00A929D2">
              <w:rPr>
                <w:rFonts w:ascii="Lato" w:hAnsi="Lato"/>
              </w:rPr>
              <w:t>The role will support strategic decision-making as well as provide information to PDQ and Ops to share with donors and government and highlight Save the Children’s capacity to analyse contextual changes and prepare and respond quickly to shocks and crises.</w:t>
            </w:r>
          </w:p>
          <w:p w14:paraId="42CBE600" w14:textId="77777777" w:rsidR="008C36E0" w:rsidRPr="00A929D2" w:rsidRDefault="008C36E0" w:rsidP="008C36E0">
            <w:pPr>
              <w:pStyle w:val="ListParagraph"/>
              <w:numPr>
                <w:ilvl w:val="0"/>
                <w:numId w:val="35"/>
              </w:numPr>
              <w:spacing w:after="200" w:line="276" w:lineRule="auto"/>
              <w:contextualSpacing/>
              <w:jc w:val="both"/>
              <w:rPr>
                <w:rFonts w:ascii="Lato" w:hAnsi="Lato"/>
              </w:rPr>
            </w:pPr>
            <w:r w:rsidRPr="00A929D2">
              <w:rPr>
                <w:rFonts w:ascii="Lato" w:hAnsi="Lato"/>
              </w:rPr>
              <w:t>The role will work closely with in-country MIS capacity to ensure information are visualized and available internally and externally as required.</w:t>
            </w:r>
          </w:p>
          <w:p w14:paraId="2343612C" w14:textId="77777777" w:rsidR="008C36E0" w:rsidRPr="00A929D2" w:rsidRDefault="008C36E0" w:rsidP="008C36E0">
            <w:pPr>
              <w:pStyle w:val="ListParagraph"/>
              <w:numPr>
                <w:ilvl w:val="0"/>
                <w:numId w:val="35"/>
              </w:numPr>
              <w:spacing w:after="200" w:line="276" w:lineRule="auto"/>
              <w:contextualSpacing/>
              <w:jc w:val="both"/>
              <w:rPr>
                <w:rFonts w:ascii="Lato" w:hAnsi="Lato"/>
              </w:rPr>
            </w:pPr>
            <w:r w:rsidRPr="00A929D2">
              <w:rPr>
                <w:rFonts w:ascii="Lato" w:hAnsi="Lato"/>
              </w:rPr>
              <w:t>The role will help to foster building strategic relationship with SoDMA and support their capacity building efforts.</w:t>
            </w:r>
          </w:p>
          <w:p w14:paraId="6AF3A049" w14:textId="77777777" w:rsidR="008C36E0" w:rsidRPr="00A929D2" w:rsidRDefault="008C36E0" w:rsidP="008C36E0">
            <w:pPr>
              <w:pStyle w:val="ListParagraph"/>
              <w:numPr>
                <w:ilvl w:val="0"/>
                <w:numId w:val="35"/>
              </w:numPr>
              <w:spacing w:after="200" w:line="276" w:lineRule="auto"/>
              <w:contextualSpacing/>
              <w:jc w:val="both"/>
              <w:rPr>
                <w:rFonts w:ascii="Lato" w:hAnsi="Lato"/>
              </w:rPr>
            </w:pPr>
            <w:r w:rsidRPr="00A929D2">
              <w:rPr>
                <w:rFonts w:ascii="Lato" w:hAnsi="Lato"/>
              </w:rPr>
              <w:lastRenderedPageBreak/>
              <w:t>The role will contribute to ACCM work in advocating for support of specific crises and provide solid evidence on how funding priorities for the CO were established.</w:t>
            </w:r>
          </w:p>
          <w:p w14:paraId="079FAB83" w14:textId="59B1C006" w:rsidR="008C36E0" w:rsidRPr="008C36E0" w:rsidRDefault="008C36E0" w:rsidP="008C36E0">
            <w:pPr>
              <w:tabs>
                <w:tab w:val="left" w:pos="2977"/>
              </w:tabs>
              <w:rPr>
                <w:rFonts w:ascii="Lato" w:hAnsi="Lato" w:cs="Arial"/>
                <w:bCs/>
                <w:iCs/>
                <w:sz w:val="22"/>
                <w:szCs w:val="22"/>
              </w:rPr>
            </w:pPr>
          </w:p>
        </w:tc>
      </w:tr>
      <w:tr w:rsidR="008C36E0" w:rsidRPr="002B1745" w14:paraId="079FAB97" w14:textId="77777777" w:rsidTr="00C656C1">
        <w:tc>
          <w:tcPr>
            <w:tcW w:w="9544" w:type="dxa"/>
            <w:gridSpan w:val="2"/>
          </w:tcPr>
          <w:p w14:paraId="079FAB85" w14:textId="77777777" w:rsidR="008C36E0" w:rsidRPr="002B1745" w:rsidRDefault="008C36E0" w:rsidP="008C36E0">
            <w:pPr>
              <w:snapToGrid w:val="0"/>
              <w:ind w:left="-24"/>
              <w:rPr>
                <w:rFonts w:ascii="Lato" w:hAnsi="Lato" w:cs="Arial"/>
                <w:b/>
                <w:i/>
                <w:color w:val="808080"/>
                <w:sz w:val="22"/>
                <w:szCs w:val="22"/>
              </w:rPr>
            </w:pPr>
            <w:r w:rsidRPr="002B1745">
              <w:rPr>
                <w:rFonts w:ascii="Lato" w:hAnsi="Lato" w:cs="Arial"/>
                <w:b/>
                <w:sz w:val="22"/>
                <w:szCs w:val="22"/>
              </w:rPr>
              <w:lastRenderedPageBreak/>
              <w:t>BEHAVIOURS (Values in Practice</w:t>
            </w:r>
            <w:r w:rsidRPr="002B1745">
              <w:rPr>
                <w:rFonts w:ascii="Lato" w:hAnsi="Lato" w:cs="Arial"/>
                <w:sz w:val="22"/>
                <w:szCs w:val="22"/>
              </w:rPr>
              <w:t>)</w:t>
            </w:r>
          </w:p>
          <w:p w14:paraId="079FAB86" w14:textId="77777777" w:rsidR="008C36E0" w:rsidRPr="002B1745" w:rsidRDefault="008C36E0" w:rsidP="008C36E0">
            <w:pPr>
              <w:ind w:left="-24"/>
              <w:rPr>
                <w:rFonts w:ascii="Lato" w:hAnsi="Lato" w:cs="Arial"/>
                <w:b/>
                <w:sz w:val="22"/>
                <w:szCs w:val="22"/>
              </w:rPr>
            </w:pPr>
            <w:r w:rsidRPr="002B1745">
              <w:rPr>
                <w:rFonts w:ascii="Lato" w:hAnsi="Lato" w:cs="Arial"/>
                <w:b/>
                <w:sz w:val="22"/>
                <w:szCs w:val="22"/>
              </w:rPr>
              <w:t>Accountability:</w:t>
            </w:r>
          </w:p>
          <w:p w14:paraId="079FAB87" w14:textId="197347E7" w:rsidR="008C36E0" w:rsidRPr="002B1745" w:rsidRDefault="008C36E0" w:rsidP="008C36E0">
            <w:pPr>
              <w:numPr>
                <w:ilvl w:val="0"/>
                <w:numId w:val="30"/>
              </w:numPr>
              <w:suppressAutoHyphens/>
              <w:rPr>
                <w:rFonts w:ascii="Lato" w:hAnsi="Lato" w:cs="Arial"/>
                <w:sz w:val="22"/>
                <w:szCs w:val="22"/>
              </w:rPr>
            </w:pPr>
            <w:r w:rsidRPr="002B1745">
              <w:rPr>
                <w:rFonts w:ascii="Lato" w:hAnsi="Lato" w:cs="Arial"/>
                <w:sz w:val="22"/>
                <w:szCs w:val="22"/>
              </w:rPr>
              <w:t>holds self-accountable for making decisions, managing resources efficiently, achieving and role modelling Save the Children values.</w:t>
            </w:r>
          </w:p>
          <w:p w14:paraId="079FAB88" w14:textId="77777777" w:rsidR="008C36E0" w:rsidRPr="002B1745" w:rsidRDefault="008C36E0" w:rsidP="008C36E0">
            <w:pPr>
              <w:numPr>
                <w:ilvl w:val="0"/>
                <w:numId w:val="30"/>
              </w:numPr>
              <w:suppressAutoHyphens/>
              <w:rPr>
                <w:rFonts w:ascii="Lato" w:hAnsi="Lato" w:cs="Arial"/>
                <w:sz w:val="22"/>
                <w:szCs w:val="22"/>
              </w:rPr>
            </w:pPr>
            <w:r w:rsidRPr="002B1745">
              <w:rPr>
                <w:rFonts w:ascii="Lato" w:hAnsi="Lato" w:cs="Arial"/>
                <w:sz w:val="22"/>
                <w:szCs w:val="22"/>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079FAB89" w14:textId="77777777" w:rsidR="008C36E0" w:rsidRPr="002B1745" w:rsidRDefault="008C36E0" w:rsidP="008C36E0">
            <w:pPr>
              <w:ind w:left="-24"/>
              <w:rPr>
                <w:rFonts w:ascii="Lato" w:hAnsi="Lato" w:cs="Arial"/>
                <w:b/>
                <w:sz w:val="22"/>
                <w:szCs w:val="22"/>
              </w:rPr>
            </w:pPr>
            <w:r w:rsidRPr="002B1745">
              <w:rPr>
                <w:rFonts w:ascii="Lato" w:hAnsi="Lato" w:cs="Arial"/>
                <w:b/>
                <w:sz w:val="22"/>
                <w:szCs w:val="22"/>
              </w:rPr>
              <w:t>Ambition:</w:t>
            </w:r>
          </w:p>
          <w:p w14:paraId="079FAB8A" w14:textId="14525806" w:rsidR="008C36E0" w:rsidRPr="002B1745" w:rsidRDefault="008C36E0" w:rsidP="008C36E0">
            <w:pPr>
              <w:numPr>
                <w:ilvl w:val="0"/>
                <w:numId w:val="32"/>
              </w:numPr>
              <w:suppressAutoHyphens/>
              <w:rPr>
                <w:rFonts w:ascii="Lato" w:hAnsi="Lato" w:cs="Arial"/>
                <w:sz w:val="22"/>
                <w:szCs w:val="22"/>
              </w:rPr>
            </w:pPr>
            <w:r w:rsidRPr="002B1745">
              <w:rPr>
                <w:rFonts w:ascii="Lato" w:hAnsi="Lato" w:cs="Arial"/>
                <w:sz w:val="22"/>
                <w:szCs w:val="22"/>
              </w:rPr>
              <w:t>sets ambitious and challenging goals for themselves and their team, takes responsibility for their own personal development and encourages their team to do the same.</w:t>
            </w:r>
          </w:p>
          <w:p w14:paraId="079FAB8B" w14:textId="448EED19" w:rsidR="008C36E0" w:rsidRPr="002B1745" w:rsidRDefault="008C36E0" w:rsidP="008C36E0">
            <w:pPr>
              <w:numPr>
                <w:ilvl w:val="0"/>
                <w:numId w:val="32"/>
              </w:numPr>
              <w:suppressAutoHyphens/>
              <w:rPr>
                <w:rFonts w:ascii="Lato" w:hAnsi="Lato" w:cs="Arial"/>
                <w:sz w:val="22"/>
                <w:szCs w:val="22"/>
              </w:rPr>
            </w:pPr>
            <w:r w:rsidRPr="002B1745">
              <w:rPr>
                <w:rFonts w:ascii="Lato" w:hAnsi="Lato" w:cs="Arial"/>
                <w:sz w:val="22"/>
                <w:szCs w:val="22"/>
              </w:rPr>
              <w:t>widely shares their personal vision for Save the Children, engages and motivates others.</w:t>
            </w:r>
          </w:p>
          <w:p w14:paraId="079FAB8C" w14:textId="77777777" w:rsidR="008C36E0" w:rsidRPr="002B1745" w:rsidRDefault="008C36E0" w:rsidP="008C36E0">
            <w:pPr>
              <w:numPr>
                <w:ilvl w:val="0"/>
                <w:numId w:val="32"/>
              </w:numPr>
              <w:suppressAutoHyphens/>
              <w:rPr>
                <w:rFonts w:ascii="Lato" w:hAnsi="Lato" w:cs="Arial"/>
                <w:sz w:val="22"/>
                <w:szCs w:val="22"/>
              </w:rPr>
            </w:pPr>
            <w:r w:rsidRPr="002B1745">
              <w:rPr>
                <w:rFonts w:ascii="Lato" w:hAnsi="Lato" w:cs="Arial"/>
                <w:sz w:val="22"/>
                <w:szCs w:val="22"/>
              </w:rPr>
              <w:t>future orientated, thinks strategically and on a global scale.</w:t>
            </w:r>
          </w:p>
          <w:p w14:paraId="079FAB8D" w14:textId="77777777" w:rsidR="008C36E0" w:rsidRPr="002B1745" w:rsidRDefault="008C36E0" w:rsidP="008C36E0">
            <w:pPr>
              <w:ind w:left="-24"/>
              <w:rPr>
                <w:rFonts w:ascii="Lato" w:hAnsi="Lato" w:cs="Arial"/>
                <w:b/>
                <w:sz w:val="22"/>
                <w:szCs w:val="22"/>
              </w:rPr>
            </w:pPr>
            <w:r w:rsidRPr="002B1745">
              <w:rPr>
                <w:rFonts w:ascii="Lato" w:hAnsi="Lato" w:cs="Arial"/>
                <w:b/>
                <w:sz w:val="22"/>
                <w:szCs w:val="22"/>
              </w:rPr>
              <w:t>Collaboration:</w:t>
            </w:r>
          </w:p>
          <w:p w14:paraId="079FAB8E" w14:textId="67DB7EAE" w:rsidR="008C36E0" w:rsidRPr="002B1745" w:rsidRDefault="008C36E0" w:rsidP="008C36E0">
            <w:pPr>
              <w:numPr>
                <w:ilvl w:val="0"/>
                <w:numId w:val="31"/>
              </w:numPr>
              <w:suppressAutoHyphens/>
              <w:rPr>
                <w:rFonts w:ascii="Lato" w:hAnsi="Lato" w:cs="Arial"/>
                <w:sz w:val="22"/>
                <w:szCs w:val="22"/>
              </w:rPr>
            </w:pPr>
            <w:r w:rsidRPr="002B1745">
              <w:rPr>
                <w:rFonts w:ascii="Lato" w:hAnsi="Lato" w:cs="Arial"/>
                <w:sz w:val="22"/>
                <w:szCs w:val="22"/>
              </w:rPr>
              <w:t>builds and maintains effective relationships, with their team, colleagues, Members and external partners and supporters.</w:t>
            </w:r>
          </w:p>
          <w:p w14:paraId="079FAB8F" w14:textId="636BBA88" w:rsidR="008C36E0" w:rsidRPr="002B1745" w:rsidRDefault="008C36E0" w:rsidP="008C36E0">
            <w:pPr>
              <w:numPr>
                <w:ilvl w:val="0"/>
                <w:numId w:val="31"/>
              </w:numPr>
              <w:suppressAutoHyphens/>
              <w:rPr>
                <w:rFonts w:ascii="Lato" w:hAnsi="Lato" w:cs="Arial"/>
                <w:sz w:val="22"/>
                <w:szCs w:val="22"/>
              </w:rPr>
            </w:pPr>
            <w:r w:rsidRPr="002B1745">
              <w:rPr>
                <w:rFonts w:ascii="Lato" w:hAnsi="Lato" w:cs="Arial"/>
                <w:sz w:val="22"/>
                <w:szCs w:val="22"/>
              </w:rPr>
              <w:t>values diversity, sees it as a source of competitive strength.</w:t>
            </w:r>
          </w:p>
          <w:p w14:paraId="079FAB90" w14:textId="77777777" w:rsidR="008C36E0" w:rsidRPr="002B1745" w:rsidRDefault="008C36E0" w:rsidP="008C36E0">
            <w:pPr>
              <w:numPr>
                <w:ilvl w:val="0"/>
                <w:numId w:val="29"/>
              </w:numPr>
              <w:suppressAutoHyphens/>
              <w:rPr>
                <w:rFonts w:ascii="Lato" w:hAnsi="Lato" w:cs="Arial"/>
                <w:sz w:val="22"/>
                <w:szCs w:val="22"/>
              </w:rPr>
            </w:pPr>
            <w:r w:rsidRPr="002B1745">
              <w:rPr>
                <w:rFonts w:ascii="Lato" w:hAnsi="Lato" w:cs="Arial"/>
                <w:sz w:val="22"/>
                <w:szCs w:val="22"/>
              </w:rPr>
              <w:t>approachable, good listener, easy to talk to.</w:t>
            </w:r>
          </w:p>
          <w:p w14:paraId="079FAB91" w14:textId="77777777" w:rsidR="008C36E0" w:rsidRPr="002B1745" w:rsidRDefault="008C36E0" w:rsidP="008C36E0">
            <w:pPr>
              <w:ind w:left="-24"/>
              <w:rPr>
                <w:rFonts w:ascii="Lato" w:hAnsi="Lato" w:cs="Arial"/>
                <w:b/>
                <w:sz w:val="22"/>
                <w:szCs w:val="22"/>
              </w:rPr>
            </w:pPr>
            <w:r w:rsidRPr="002B1745">
              <w:rPr>
                <w:rFonts w:ascii="Lato" w:hAnsi="Lato" w:cs="Arial"/>
                <w:b/>
                <w:sz w:val="22"/>
                <w:szCs w:val="22"/>
              </w:rPr>
              <w:t>Creativity:</w:t>
            </w:r>
          </w:p>
          <w:p w14:paraId="079FAB92" w14:textId="51333FA1" w:rsidR="008C36E0" w:rsidRPr="002B1745" w:rsidRDefault="008C36E0" w:rsidP="008C36E0">
            <w:pPr>
              <w:numPr>
                <w:ilvl w:val="0"/>
                <w:numId w:val="31"/>
              </w:numPr>
              <w:suppressAutoHyphens/>
              <w:rPr>
                <w:rFonts w:ascii="Lato" w:hAnsi="Lato" w:cs="Arial"/>
                <w:sz w:val="22"/>
                <w:szCs w:val="22"/>
              </w:rPr>
            </w:pPr>
            <w:r w:rsidRPr="002B1745">
              <w:rPr>
                <w:rFonts w:ascii="Lato" w:hAnsi="Lato" w:cs="Arial"/>
                <w:sz w:val="22"/>
                <w:szCs w:val="22"/>
              </w:rPr>
              <w:t>develops and encourages new and innovative solutions.</w:t>
            </w:r>
          </w:p>
          <w:p w14:paraId="079FAB93" w14:textId="77777777" w:rsidR="008C36E0" w:rsidRPr="002B1745" w:rsidRDefault="008C36E0" w:rsidP="008C36E0">
            <w:pPr>
              <w:numPr>
                <w:ilvl w:val="0"/>
                <w:numId w:val="31"/>
              </w:numPr>
              <w:suppressAutoHyphens/>
              <w:rPr>
                <w:rFonts w:ascii="Lato" w:hAnsi="Lato" w:cs="Arial"/>
                <w:sz w:val="22"/>
                <w:szCs w:val="22"/>
              </w:rPr>
            </w:pPr>
            <w:r w:rsidRPr="002B1745">
              <w:rPr>
                <w:rFonts w:ascii="Lato" w:hAnsi="Lato" w:cs="Arial"/>
                <w:sz w:val="22"/>
                <w:szCs w:val="22"/>
              </w:rPr>
              <w:t>willing to take disciplined risks.</w:t>
            </w:r>
          </w:p>
          <w:p w14:paraId="079FAB94" w14:textId="77777777" w:rsidR="008C36E0" w:rsidRPr="002B1745" w:rsidRDefault="008C36E0" w:rsidP="008C36E0">
            <w:pPr>
              <w:ind w:left="-24"/>
              <w:rPr>
                <w:rFonts w:ascii="Lato" w:hAnsi="Lato" w:cs="Arial"/>
                <w:b/>
                <w:sz w:val="22"/>
                <w:szCs w:val="22"/>
              </w:rPr>
            </w:pPr>
            <w:r w:rsidRPr="002B1745">
              <w:rPr>
                <w:rFonts w:ascii="Lato" w:hAnsi="Lato" w:cs="Arial"/>
                <w:b/>
                <w:sz w:val="22"/>
                <w:szCs w:val="22"/>
              </w:rPr>
              <w:t>Integrity:</w:t>
            </w:r>
          </w:p>
          <w:p w14:paraId="079FAB95" w14:textId="307DB170" w:rsidR="008C36E0" w:rsidRPr="002B1745" w:rsidRDefault="008C36E0" w:rsidP="008C36E0">
            <w:pPr>
              <w:numPr>
                <w:ilvl w:val="0"/>
                <w:numId w:val="31"/>
              </w:numPr>
              <w:suppressAutoHyphens/>
              <w:rPr>
                <w:rFonts w:ascii="Lato" w:hAnsi="Lato" w:cs="Arial"/>
                <w:sz w:val="22"/>
                <w:szCs w:val="22"/>
              </w:rPr>
            </w:pPr>
            <w:r w:rsidRPr="002B1745">
              <w:rPr>
                <w:rFonts w:ascii="Lato" w:hAnsi="Lato" w:cs="Arial"/>
                <w:sz w:val="22"/>
                <w:szCs w:val="22"/>
              </w:rPr>
              <w:t>honest, encourages openness and transparency; demonstrates highest levels of integrity.</w:t>
            </w:r>
          </w:p>
          <w:p w14:paraId="079FAB96" w14:textId="77777777" w:rsidR="008C36E0" w:rsidRPr="002B1745" w:rsidRDefault="008C36E0" w:rsidP="008C36E0">
            <w:pPr>
              <w:rPr>
                <w:rFonts w:ascii="Lato" w:hAnsi="Lato" w:cs="Arial"/>
                <w:b/>
                <w:sz w:val="22"/>
                <w:szCs w:val="22"/>
              </w:rPr>
            </w:pPr>
          </w:p>
        </w:tc>
      </w:tr>
      <w:tr w:rsidR="008C36E0" w:rsidRPr="002B1745" w14:paraId="079FAB9A" w14:textId="77777777" w:rsidTr="008C36E0">
        <w:trPr>
          <w:trHeight w:val="622"/>
        </w:trPr>
        <w:tc>
          <w:tcPr>
            <w:tcW w:w="9544" w:type="dxa"/>
            <w:gridSpan w:val="2"/>
          </w:tcPr>
          <w:p w14:paraId="079FAB98" w14:textId="77777777" w:rsidR="008C36E0" w:rsidRPr="002B1745" w:rsidRDefault="008C36E0" w:rsidP="008C36E0">
            <w:pPr>
              <w:rPr>
                <w:rFonts w:ascii="Lato" w:hAnsi="Lato" w:cs="Arial"/>
                <w:b/>
                <w:i/>
                <w:color w:val="808080"/>
                <w:sz w:val="22"/>
                <w:szCs w:val="22"/>
              </w:rPr>
            </w:pPr>
            <w:r w:rsidRPr="002B1745">
              <w:rPr>
                <w:rFonts w:ascii="Lato" w:hAnsi="Lato" w:cs="Arial"/>
                <w:b/>
                <w:sz w:val="22"/>
                <w:szCs w:val="22"/>
              </w:rPr>
              <w:t xml:space="preserve">QUALIFICATIONS  </w:t>
            </w:r>
          </w:p>
          <w:p w14:paraId="0ADFA4B1" w14:textId="747B6506" w:rsidR="008C36E0" w:rsidRPr="00A929D2" w:rsidRDefault="009B20D9" w:rsidP="008C36E0">
            <w:pPr>
              <w:pStyle w:val="ListParagraph"/>
              <w:numPr>
                <w:ilvl w:val="0"/>
                <w:numId w:val="36"/>
              </w:numPr>
              <w:ind w:left="740"/>
              <w:rPr>
                <w:rFonts w:ascii="Lato" w:hAnsi="Lato"/>
              </w:rPr>
            </w:pPr>
            <w:bookmarkStart w:id="0" w:name="_Hlk159335071"/>
            <w:r>
              <w:rPr>
                <w:rFonts w:ascii="Lato" w:hAnsi="Lato"/>
              </w:rPr>
              <w:t xml:space="preserve">Bachelors Degre or </w:t>
            </w:r>
            <w:r w:rsidR="008C36E0" w:rsidRPr="00A929D2">
              <w:rPr>
                <w:rFonts w:ascii="Lato" w:hAnsi="Lato"/>
              </w:rPr>
              <w:t>Master’s degree in relevant field (political science, social sciences, economics, international humanitarian law, etc.)</w:t>
            </w:r>
          </w:p>
          <w:bookmarkEnd w:id="0"/>
          <w:p w14:paraId="079FAB99" w14:textId="764400E4" w:rsidR="008C36E0" w:rsidRPr="008C36E0" w:rsidRDefault="008C36E0" w:rsidP="008C36E0">
            <w:pPr>
              <w:rPr>
                <w:rFonts w:ascii="Lato" w:hAnsi="Lato" w:cs="Arial"/>
                <w:bCs/>
                <w:iCs/>
                <w:color w:val="808080"/>
                <w:sz w:val="22"/>
                <w:szCs w:val="22"/>
                <w:lang w:val="en-US"/>
              </w:rPr>
            </w:pPr>
          </w:p>
        </w:tc>
      </w:tr>
      <w:tr w:rsidR="008C36E0" w:rsidRPr="002B1745" w14:paraId="079FAB9D" w14:textId="77777777" w:rsidTr="00C656C1">
        <w:trPr>
          <w:trHeight w:val="844"/>
        </w:trPr>
        <w:tc>
          <w:tcPr>
            <w:tcW w:w="9544" w:type="dxa"/>
            <w:gridSpan w:val="2"/>
            <w:tcBorders>
              <w:bottom w:val="single" w:sz="8" w:space="0" w:color="000000"/>
            </w:tcBorders>
          </w:tcPr>
          <w:p w14:paraId="079FAB9B" w14:textId="77777777" w:rsidR="008C36E0" w:rsidRPr="002B1745" w:rsidRDefault="008C36E0" w:rsidP="008C36E0">
            <w:pPr>
              <w:rPr>
                <w:rFonts w:ascii="Lato" w:hAnsi="Lato" w:cs="Arial"/>
                <w:b/>
                <w:sz w:val="22"/>
                <w:szCs w:val="22"/>
              </w:rPr>
            </w:pPr>
            <w:r w:rsidRPr="002B1745">
              <w:rPr>
                <w:rFonts w:ascii="Lato" w:hAnsi="Lato" w:cs="Arial"/>
                <w:b/>
                <w:sz w:val="22"/>
                <w:szCs w:val="22"/>
              </w:rPr>
              <w:t>EXPERIENCE AND SKILLS</w:t>
            </w:r>
          </w:p>
          <w:p w14:paraId="79E63E47" w14:textId="77777777" w:rsidR="008C36E0" w:rsidRDefault="008C36E0" w:rsidP="008C36E0">
            <w:pPr>
              <w:rPr>
                <w:rFonts w:ascii="Lato" w:hAnsi="Lato" w:cs="Arial"/>
                <w:b/>
                <w:i/>
                <w:color w:val="808080"/>
                <w:sz w:val="22"/>
                <w:szCs w:val="22"/>
              </w:rPr>
            </w:pPr>
          </w:p>
          <w:p w14:paraId="2A5EDC48" w14:textId="77777777" w:rsidR="008C36E0" w:rsidRPr="00A929D2" w:rsidRDefault="008C36E0" w:rsidP="008C36E0">
            <w:pPr>
              <w:snapToGrid w:val="0"/>
              <w:rPr>
                <w:rFonts w:ascii="Lato" w:hAnsi="Lato" w:cs="Arial"/>
                <w:b/>
                <w:sz w:val="22"/>
                <w:szCs w:val="22"/>
              </w:rPr>
            </w:pPr>
            <w:bookmarkStart w:id="1" w:name="_Hlk159335110"/>
            <w:r w:rsidRPr="00A929D2">
              <w:rPr>
                <w:rFonts w:ascii="Lato" w:hAnsi="Lato" w:cs="Arial"/>
                <w:b/>
                <w:sz w:val="22"/>
                <w:szCs w:val="22"/>
              </w:rPr>
              <w:t>Essential</w:t>
            </w:r>
          </w:p>
          <w:p w14:paraId="626CA324" w14:textId="77777777" w:rsidR="008C36E0" w:rsidRDefault="008C36E0" w:rsidP="008C36E0">
            <w:pPr>
              <w:pStyle w:val="ListParagraph"/>
              <w:numPr>
                <w:ilvl w:val="0"/>
                <w:numId w:val="36"/>
              </w:numPr>
              <w:ind w:left="740"/>
              <w:contextualSpacing/>
              <w:rPr>
                <w:rFonts w:ascii="Lato" w:hAnsi="Lato"/>
              </w:rPr>
            </w:pPr>
            <w:r w:rsidRPr="00A929D2">
              <w:rPr>
                <w:rFonts w:ascii="Lato" w:hAnsi="Lato"/>
              </w:rPr>
              <w:t>Expert knowledge of analytical methodologies, approaches and tools</w:t>
            </w:r>
          </w:p>
          <w:p w14:paraId="7CBB78C3" w14:textId="77777777" w:rsidR="008C36E0" w:rsidRPr="00A929D2" w:rsidRDefault="008C36E0" w:rsidP="008C36E0">
            <w:pPr>
              <w:pStyle w:val="ListParagraph"/>
              <w:numPr>
                <w:ilvl w:val="0"/>
                <w:numId w:val="36"/>
              </w:numPr>
              <w:ind w:left="740"/>
              <w:contextualSpacing/>
              <w:rPr>
                <w:rFonts w:ascii="Lato" w:hAnsi="Lato"/>
              </w:rPr>
            </w:pPr>
            <w:r>
              <w:rPr>
                <w:rFonts w:ascii="Lato" w:hAnsi="Lato"/>
              </w:rPr>
              <w:t xml:space="preserve">4-5 Years of experience in similar field </w:t>
            </w:r>
          </w:p>
          <w:p w14:paraId="3F14C521" w14:textId="77777777" w:rsidR="008C36E0" w:rsidRPr="00A929D2" w:rsidRDefault="008C36E0" w:rsidP="008C36E0">
            <w:pPr>
              <w:pStyle w:val="ListParagraph"/>
              <w:numPr>
                <w:ilvl w:val="0"/>
                <w:numId w:val="36"/>
              </w:numPr>
              <w:ind w:left="740"/>
              <w:contextualSpacing/>
              <w:rPr>
                <w:rFonts w:ascii="Lato" w:hAnsi="Lato"/>
              </w:rPr>
            </w:pPr>
            <w:r w:rsidRPr="00A929D2">
              <w:rPr>
                <w:rFonts w:ascii="Lato" w:hAnsi="Lato"/>
              </w:rPr>
              <w:t>Excellent communication and presentation skills</w:t>
            </w:r>
          </w:p>
          <w:p w14:paraId="1ADB593C" w14:textId="77777777" w:rsidR="008C36E0" w:rsidRPr="00A929D2" w:rsidRDefault="008C36E0" w:rsidP="008C36E0">
            <w:pPr>
              <w:pStyle w:val="ListParagraph"/>
              <w:numPr>
                <w:ilvl w:val="0"/>
                <w:numId w:val="36"/>
              </w:numPr>
              <w:ind w:left="740"/>
              <w:contextualSpacing/>
              <w:rPr>
                <w:rFonts w:ascii="Lato" w:hAnsi="Lato"/>
              </w:rPr>
            </w:pPr>
            <w:r w:rsidRPr="00A929D2">
              <w:rPr>
                <w:rFonts w:ascii="Lato" w:hAnsi="Lato"/>
              </w:rPr>
              <w:t>Excellent networking skills</w:t>
            </w:r>
          </w:p>
          <w:p w14:paraId="6BFB08E5" w14:textId="77777777" w:rsidR="008C36E0" w:rsidRPr="00A929D2" w:rsidRDefault="008C36E0" w:rsidP="008C36E0">
            <w:pPr>
              <w:pStyle w:val="ListParagraph"/>
              <w:numPr>
                <w:ilvl w:val="0"/>
                <w:numId w:val="36"/>
              </w:numPr>
              <w:ind w:left="740"/>
              <w:contextualSpacing/>
              <w:rPr>
                <w:rFonts w:ascii="Lato" w:hAnsi="Lato"/>
              </w:rPr>
            </w:pPr>
            <w:r w:rsidRPr="00A929D2">
              <w:rPr>
                <w:rFonts w:ascii="Lato" w:hAnsi="Lato"/>
              </w:rPr>
              <w:t>Excellent ability to communicate verbally and in writing in English</w:t>
            </w:r>
          </w:p>
          <w:p w14:paraId="18911894" w14:textId="77777777" w:rsidR="008C36E0" w:rsidRPr="00A929D2" w:rsidRDefault="008C36E0" w:rsidP="008C36E0">
            <w:pPr>
              <w:pStyle w:val="ListParagraph"/>
              <w:numPr>
                <w:ilvl w:val="0"/>
                <w:numId w:val="36"/>
              </w:numPr>
              <w:ind w:left="740"/>
              <w:contextualSpacing/>
              <w:rPr>
                <w:rFonts w:ascii="Lato" w:hAnsi="Lato"/>
              </w:rPr>
            </w:pPr>
            <w:r w:rsidRPr="00A929D2">
              <w:rPr>
                <w:rFonts w:ascii="Lato" w:hAnsi="Lato"/>
              </w:rPr>
              <w:t>Excellent critical thinking skills</w:t>
            </w:r>
          </w:p>
          <w:p w14:paraId="1168A216" w14:textId="77777777" w:rsidR="008C36E0" w:rsidRPr="00A929D2" w:rsidRDefault="008C36E0" w:rsidP="008C36E0">
            <w:pPr>
              <w:pStyle w:val="ListParagraph"/>
              <w:numPr>
                <w:ilvl w:val="0"/>
                <w:numId w:val="36"/>
              </w:numPr>
              <w:ind w:left="740"/>
              <w:contextualSpacing/>
              <w:rPr>
                <w:rFonts w:ascii="Lato" w:hAnsi="Lato"/>
              </w:rPr>
            </w:pPr>
            <w:r w:rsidRPr="00A929D2">
              <w:rPr>
                <w:rFonts w:ascii="Lato" w:hAnsi="Lato"/>
              </w:rPr>
              <w:t>Theoretical and practical experience of conflict sensitivity</w:t>
            </w:r>
          </w:p>
          <w:p w14:paraId="761EE1EF" w14:textId="77777777" w:rsidR="008C36E0" w:rsidRPr="00A929D2" w:rsidRDefault="008C36E0" w:rsidP="008C36E0">
            <w:pPr>
              <w:pStyle w:val="ListParagraph"/>
              <w:numPr>
                <w:ilvl w:val="0"/>
                <w:numId w:val="36"/>
              </w:numPr>
              <w:ind w:left="740"/>
              <w:contextualSpacing/>
              <w:rPr>
                <w:rFonts w:ascii="Lato" w:hAnsi="Lato"/>
              </w:rPr>
            </w:pPr>
            <w:r w:rsidRPr="00A929D2">
              <w:rPr>
                <w:rFonts w:ascii="Lato" w:hAnsi="Lato"/>
              </w:rPr>
              <w:t>Diplomatic mindset</w:t>
            </w:r>
          </w:p>
          <w:p w14:paraId="19CE73A8" w14:textId="77777777" w:rsidR="008C36E0" w:rsidRPr="00A929D2" w:rsidRDefault="008C36E0" w:rsidP="008C36E0">
            <w:pPr>
              <w:pStyle w:val="ListParagraph"/>
              <w:numPr>
                <w:ilvl w:val="0"/>
                <w:numId w:val="36"/>
              </w:numPr>
              <w:ind w:left="740"/>
              <w:contextualSpacing/>
              <w:rPr>
                <w:rFonts w:ascii="Lato" w:hAnsi="Lato"/>
              </w:rPr>
            </w:pPr>
            <w:r w:rsidRPr="00A929D2">
              <w:rPr>
                <w:rFonts w:ascii="Lato" w:hAnsi="Lato"/>
              </w:rPr>
              <w:t>Demonstrated ability to lead team efforts and successfully influence others</w:t>
            </w:r>
          </w:p>
          <w:p w14:paraId="2037A1D1" w14:textId="77777777" w:rsidR="008C36E0" w:rsidRPr="00A929D2" w:rsidRDefault="008C36E0" w:rsidP="008C36E0">
            <w:pPr>
              <w:pStyle w:val="ListParagraph"/>
              <w:numPr>
                <w:ilvl w:val="0"/>
                <w:numId w:val="36"/>
              </w:numPr>
              <w:ind w:left="740"/>
              <w:contextualSpacing/>
              <w:rPr>
                <w:rFonts w:ascii="Lato" w:hAnsi="Lato"/>
              </w:rPr>
            </w:pPr>
            <w:r w:rsidRPr="00A929D2">
              <w:rPr>
                <w:rFonts w:ascii="Lato" w:hAnsi="Lato"/>
              </w:rPr>
              <w:t>Appetite for learning and making a difference in complex and challenging environments</w:t>
            </w:r>
          </w:p>
          <w:p w14:paraId="114781BB" w14:textId="77777777" w:rsidR="008C36E0" w:rsidRPr="00A929D2" w:rsidRDefault="008C36E0" w:rsidP="008C36E0">
            <w:pPr>
              <w:pStyle w:val="ListParagraph"/>
              <w:numPr>
                <w:ilvl w:val="0"/>
                <w:numId w:val="36"/>
              </w:numPr>
              <w:ind w:left="740"/>
              <w:contextualSpacing/>
              <w:rPr>
                <w:rFonts w:ascii="Lato" w:hAnsi="Lato"/>
              </w:rPr>
            </w:pPr>
            <w:r w:rsidRPr="00A929D2">
              <w:rPr>
                <w:rFonts w:ascii="Lato" w:hAnsi="Lato"/>
              </w:rPr>
              <w:t>Record of research, publications and writing on humanitarian and development issues</w:t>
            </w:r>
          </w:p>
          <w:p w14:paraId="7F489C40" w14:textId="77777777" w:rsidR="008C36E0" w:rsidRPr="00A929D2" w:rsidRDefault="008C36E0" w:rsidP="008C36E0">
            <w:pPr>
              <w:pStyle w:val="ListParagraph"/>
              <w:ind w:left="740"/>
              <w:contextualSpacing/>
              <w:rPr>
                <w:rFonts w:ascii="Lato" w:hAnsi="Lato"/>
              </w:rPr>
            </w:pPr>
          </w:p>
          <w:p w14:paraId="1F9F41BB" w14:textId="77777777" w:rsidR="008C36E0" w:rsidRPr="00A929D2" w:rsidRDefault="008C36E0" w:rsidP="008C36E0">
            <w:pPr>
              <w:jc w:val="both"/>
              <w:rPr>
                <w:rFonts w:ascii="Lato" w:hAnsi="Lato" w:cs="Arial"/>
                <w:b/>
                <w:sz w:val="22"/>
                <w:szCs w:val="22"/>
              </w:rPr>
            </w:pPr>
            <w:r w:rsidRPr="00A929D2">
              <w:rPr>
                <w:rFonts w:ascii="Lato" w:hAnsi="Lato" w:cs="Arial"/>
                <w:b/>
                <w:sz w:val="22"/>
                <w:szCs w:val="22"/>
              </w:rPr>
              <w:t>Desirable</w:t>
            </w:r>
            <w:r w:rsidRPr="00A929D2">
              <w:rPr>
                <w:rFonts w:ascii="Lato" w:hAnsi="Lato" w:cs="Arial"/>
                <w:bCs/>
                <w:sz w:val="22"/>
                <w:szCs w:val="22"/>
              </w:rPr>
              <w:t xml:space="preserve"> </w:t>
            </w:r>
          </w:p>
          <w:p w14:paraId="3BA96DCA" w14:textId="77777777" w:rsidR="008C36E0" w:rsidRPr="00A929D2" w:rsidRDefault="008C36E0" w:rsidP="008C36E0">
            <w:pPr>
              <w:numPr>
                <w:ilvl w:val="0"/>
                <w:numId w:val="36"/>
              </w:numPr>
              <w:tabs>
                <w:tab w:val="clear" w:pos="360"/>
              </w:tabs>
              <w:autoSpaceDE w:val="0"/>
              <w:autoSpaceDN w:val="0"/>
              <w:adjustRightInd w:val="0"/>
              <w:ind w:left="740"/>
              <w:jc w:val="both"/>
              <w:rPr>
                <w:rFonts w:ascii="Lato" w:hAnsi="Lato" w:cs="Arial"/>
                <w:sz w:val="22"/>
                <w:szCs w:val="22"/>
                <w:lang w:eastAsia="en-GB"/>
              </w:rPr>
            </w:pPr>
            <w:r w:rsidRPr="00A929D2">
              <w:rPr>
                <w:rFonts w:ascii="Lato" w:hAnsi="Lato" w:cs="Arial"/>
                <w:sz w:val="22"/>
                <w:szCs w:val="22"/>
                <w:lang w:eastAsia="en-GB"/>
              </w:rPr>
              <w:t>Experience or knowledge of working and living in humanitarian contexts in East and Southern Africa</w:t>
            </w:r>
          </w:p>
          <w:p w14:paraId="6DE5A377" w14:textId="77777777" w:rsidR="008C36E0" w:rsidRPr="00A929D2" w:rsidRDefault="008C36E0" w:rsidP="008C36E0">
            <w:pPr>
              <w:numPr>
                <w:ilvl w:val="0"/>
                <w:numId w:val="36"/>
              </w:numPr>
              <w:tabs>
                <w:tab w:val="clear" w:pos="360"/>
              </w:tabs>
              <w:autoSpaceDE w:val="0"/>
              <w:autoSpaceDN w:val="0"/>
              <w:adjustRightInd w:val="0"/>
              <w:ind w:left="740"/>
              <w:jc w:val="both"/>
              <w:rPr>
                <w:rFonts w:ascii="Lato" w:hAnsi="Lato" w:cs="Arial"/>
                <w:sz w:val="22"/>
                <w:szCs w:val="22"/>
                <w:lang w:eastAsia="en-GB"/>
              </w:rPr>
            </w:pPr>
            <w:r w:rsidRPr="00A929D2">
              <w:rPr>
                <w:rFonts w:ascii="Lato" w:hAnsi="Lato" w:cs="Arial"/>
                <w:sz w:val="22"/>
                <w:szCs w:val="22"/>
                <w:lang w:eastAsia="en-GB"/>
              </w:rPr>
              <w:t>Experience working in Somalia is an added value</w:t>
            </w:r>
          </w:p>
          <w:p w14:paraId="1DBCF834" w14:textId="77777777" w:rsidR="008C36E0" w:rsidRPr="00A929D2" w:rsidRDefault="008C36E0" w:rsidP="008C36E0">
            <w:pPr>
              <w:pStyle w:val="ListParagraph"/>
              <w:numPr>
                <w:ilvl w:val="0"/>
                <w:numId w:val="36"/>
              </w:numPr>
              <w:tabs>
                <w:tab w:val="clear" w:pos="360"/>
              </w:tabs>
              <w:ind w:left="740"/>
              <w:rPr>
                <w:rFonts w:ascii="Lato" w:hAnsi="Lato"/>
              </w:rPr>
            </w:pPr>
            <w:r w:rsidRPr="00A929D2">
              <w:rPr>
                <w:rFonts w:ascii="Lato" w:hAnsi="Lato"/>
              </w:rPr>
              <w:lastRenderedPageBreak/>
              <w:t>Background in quantitative analysis (/statistics) appreciated.</w:t>
            </w:r>
          </w:p>
          <w:bookmarkEnd w:id="1"/>
          <w:p w14:paraId="079FAB9C" w14:textId="693FD514" w:rsidR="008C36E0" w:rsidRPr="008C36E0" w:rsidRDefault="008C36E0" w:rsidP="008C36E0">
            <w:pPr>
              <w:rPr>
                <w:rFonts w:ascii="Lato" w:hAnsi="Lato" w:cs="Arial"/>
                <w:bCs/>
                <w:iCs/>
                <w:sz w:val="22"/>
                <w:szCs w:val="22"/>
                <w:lang w:val="en-US"/>
              </w:rPr>
            </w:pPr>
          </w:p>
        </w:tc>
      </w:tr>
      <w:tr w:rsidR="008C36E0" w:rsidRPr="002B1745" w14:paraId="079FABA0" w14:textId="77777777" w:rsidTr="00C656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44" w:type="dxa"/>
            <w:gridSpan w:val="2"/>
            <w:tcBorders>
              <w:top w:val="single" w:sz="4" w:space="0" w:color="000000"/>
              <w:left w:val="single" w:sz="4" w:space="0" w:color="000000"/>
              <w:bottom w:val="single" w:sz="4" w:space="0" w:color="000000"/>
              <w:right w:val="single" w:sz="4" w:space="0" w:color="000000"/>
            </w:tcBorders>
          </w:tcPr>
          <w:p w14:paraId="079FAB9E" w14:textId="77777777" w:rsidR="008C36E0" w:rsidRPr="002B1745" w:rsidRDefault="008C36E0" w:rsidP="008C36E0">
            <w:pPr>
              <w:jc w:val="both"/>
              <w:rPr>
                <w:rFonts w:ascii="Lato" w:hAnsi="Lato" w:cs="Arial"/>
                <w:b/>
                <w:color w:val="000000" w:themeColor="text1"/>
                <w:sz w:val="22"/>
                <w:szCs w:val="22"/>
              </w:rPr>
            </w:pPr>
            <w:r w:rsidRPr="002B1745">
              <w:rPr>
                <w:rFonts w:ascii="Lato" w:hAnsi="Lato" w:cs="Arial"/>
                <w:b/>
                <w:color w:val="000000" w:themeColor="text1"/>
                <w:sz w:val="22"/>
                <w:szCs w:val="22"/>
              </w:rPr>
              <w:lastRenderedPageBreak/>
              <w:t>Additional job responsibilities</w:t>
            </w:r>
          </w:p>
          <w:p w14:paraId="079FAB9F" w14:textId="77777777" w:rsidR="008C36E0" w:rsidRPr="002B1745" w:rsidRDefault="008C36E0" w:rsidP="008C36E0">
            <w:pPr>
              <w:tabs>
                <w:tab w:val="left" w:pos="1134"/>
              </w:tabs>
              <w:jc w:val="both"/>
              <w:rPr>
                <w:rFonts w:ascii="Lato" w:hAnsi="Lato" w:cs="Arial"/>
                <w:color w:val="000000" w:themeColor="text1"/>
                <w:sz w:val="22"/>
                <w:szCs w:val="22"/>
              </w:rPr>
            </w:pPr>
            <w:r w:rsidRPr="002B1745">
              <w:rPr>
                <w:rFonts w:ascii="Lato" w:hAnsi="Lato" w:cs="Arial"/>
                <w:color w:val="000000" w:themeColor="text1"/>
                <w:sz w:val="22"/>
                <w:szCs w:val="22"/>
              </w:rPr>
              <w:t>The duties and responsibilities as set out above are not exhaustive and the role holder may be required to carry out additional duties within reasonableness of their level of skills and experience.</w:t>
            </w:r>
          </w:p>
        </w:tc>
      </w:tr>
      <w:tr w:rsidR="008C36E0" w:rsidRPr="002B1745" w14:paraId="079FABA3" w14:textId="77777777" w:rsidTr="00C656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44" w:type="dxa"/>
            <w:gridSpan w:val="2"/>
            <w:tcBorders>
              <w:top w:val="single" w:sz="4" w:space="0" w:color="000000"/>
              <w:left w:val="single" w:sz="4" w:space="0" w:color="000000"/>
              <w:bottom w:val="single" w:sz="4" w:space="0" w:color="000000"/>
              <w:right w:val="single" w:sz="4" w:space="0" w:color="000000"/>
            </w:tcBorders>
          </w:tcPr>
          <w:p w14:paraId="079FABA1" w14:textId="77777777" w:rsidR="008C36E0" w:rsidRPr="002B1745" w:rsidRDefault="008C36E0" w:rsidP="008C36E0">
            <w:pPr>
              <w:jc w:val="both"/>
              <w:rPr>
                <w:rFonts w:ascii="Lato" w:hAnsi="Lato" w:cs="Arial"/>
                <w:b/>
                <w:color w:val="000000" w:themeColor="text1"/>
                <w:sz w:val="22"/>
                <w:szCs w:val="22"/>
              </w:rPr>
            </w:pPr>
            <w:r w:rsidRPr="002B1745">
              <w:rPr>
                <w:rFonts w:ascii="Lato" w:hAnsi="Lato" w:cs="Arial"/>
                <w:b/>
                <w:color w:val="000000" w:themeColor="text1"/>
                <w:sz w:val="22"/>
                <w:szCs w:val="22"/>
              </w:rPr>
              <w:t xml:space="preserve">Equal Opportunities </w:t>
            </w:r>
          </w:p>
          <w:p w14:paraId="079FABA2" w14:textId="77777777" w:rsidR="008C36E0" w:rsidRPr="002B1745" w:rsidRDefault="008C36E0" w:rsidP="008C36E0">
            <w:pPr>
              <w:jc w:val="both"/>
              <w:rPr>
                <w:rFonts w:ascii="Lato" w:hAnsi="Lato" w:cs="Arial"/>
                <w:color w:val="000000" w:themeColor="text1"/>
                <w:sz w:val="22"/>
                <w:szCs w:val="22"/>
              </w:rPr>
            </w:pPr>
            <w:r w:rsidRPr="002B1745">
              <w:rPr>
                <w:rFonts w:ascii="Lato" w:hAnsi="Lato" w:cs="Arial"/>
                <w:color w:val="000000" w:themeColor="text1"/>
                <w:sz w:val="22"/>
                <w:szCs w:val="22"/>
              </w:rPr>
              <w:t>The role holder is required to carry out the duties in accordance with the SCI Equal Opportunities and Diversity policies and procedures.</w:t>
            </w:r>
          </w:p>
        </w:tc>
      </w:tr>
      <w:tr w:rsidR="008C36E0" w:rsidRPr="002B1745" w14:paraId="079FABA6" w14:textId="77777777" w:rsidTr="00C656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44" w:type="dxa"/>
            <w:gridSpan w:val="2"/>
            <w:tcBorders>
              <w:top w:val="single" w:sz="4" w:space="0" w:color="000000"/>
              <w:left w:val="single" w:sz="4" w:space="0" w:color="000000"/>
              <w:bottom w:val="single" w:sz="4" w:space="0" w:color="000000"/>
              <w:right w:val="single" w:sz="4" w:space="0" w:color="000000"/>
            </w:tcBorders>
          </w:tcPr>
          <w:p w14:paraId="079FABA4" w14:textId="77777777" w:rsidR="008C36E0" w:rsidRPr="002B1745" w:rsidRDefault="008C36E0" w:rsidP="008C36E0">
            <w:pPr>
              <w:jc w:val="both"/>
              <w:rPr>
                <w:rFonts w:ascii="Lato" w:hAnsi="Lato"/>
                <w:b/>
                <w:color w:val="000000" w:themeColor="text1"/>
                <w:sz w:val="22"/>
                <w:szCs w:val="22"/>
              </w:rPr>
            </w:pPr>
            <w:r w:rsidRPr="002B1745">
              <w:rPr>
                <w:rFonts w:ascii="Lato" w:hAnsi="Lato"/>
                <w:b/>
                <w:color w:val="000000" w:themeColor="text1"/>
                <w:sz w:val="22"/>
                <w:szCs w:val="22"/>
              </w:rPr>
              <w:t>Child Safeguarding:</w:t>
            </w:r>
          </w:p>
          <w:p w14:paraId="079FABA5" w14:textId="77777777" w:rsidR="008C36E0" w:rsidRPr="002B1745" w:rsidRDefault="008C36E0" w:rsidP="008C36E0">
            <w:pPr>
              <w:jc w:val="both"/>
              <w:rPr>
                <w:rFonts w:ascii="Lato" w:hAnsi="Lato"/>
                <w:color w:val="000000" w:themeColor="text1"/>
                <w:sz w:val="22"/>
                <w:szCs w:val="22"/>
              </w:rPr>
            </w:pPr>
            <w:r w:rsidRPr="002B1745">
              <w:rPr>
                <w:rFonts w:ascii="Lato" w:hAnsi="Lato"/>
                <w:color w:val="000000" w:themeColor="text1"/>
                <w:sz w:val="22"/>
                <w:szCs w:val="22"/>
              </w:rPr>
              <w:t>We need to keep children safe so our selection process, which includes rigorous background checks, reflects our commitment to the protection of children from abuse.</w:t>
            </w:r>
          </w:p>
        </w:tc>
      </w:tr>
      <w:tr w:rsidR="008C36E0" w:rsidRPr="002B1745" w14:paraId="079FABA9" w14:textId="77777777" w:rsidTr="00C656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44" w:type="dxa"/>
            <w:gridSpan w:val="2"/>
            <w:tcBorders>
              <w:top w:val="single" w:sz="4" w:space="0" w:color="000000"/>
              <w:left w:val="single" w:sz="4" w:space="0" w:color="000000"/>
              <w:bottom w:val="single" w:sz="4" w:space="0" w:color="000000"/>
              <w:right w:val="single" w:sz="4" w:space="0" w:color="000000"/>
            </w:tcBorders>
          </w:tcPr>
          <w:p w14:paraId="079FABA7" w14:textId="77777777" w:rsidR="008C36E0" w:rsidRPr="002B1745" w:rsidRDefault="008C36E0" w:rsidP="008C36E0">
            <w:pPr>
              <w:jc w:val="both"/>
              <w:rPr>
                <w:rFonts w:ascii="Lato" w:hAnsi="Lato" w:cs="Arial"/>
                <w:b/>
                <w:color w:val="000000" w:themeColor="text1"/>
                <w:sz w:val="22"/>
                <w:szCs w:val="22"/>
              </w:rPr>
            </w:pPr>
            <w:r w:rsidRPr="002B1745">
              <w:rPr>
                <w:rFonts w:ascii="Lato" w:hAnsi="Lato" w:cs="Arial"/>
                <w:b/>
                <w:color w:val="000000" w:themeColor="text1"/>
                <w:sz w:val="22"/>
                <w:szCs w:val="22"/>
              </w:rPr>
              <w:t>Adult Safeguarding.</w:t>
            </w:r>
          </w:p>
          <w:p w14:paraId="079FABA8" w14:textId="77777777" w:rsidR="008C36E0" w:rsidRPr="002B1745" w:rsidRDefault="008C36E0" w:rsidP="008C36E0">
            <w:pPr>
              <w:jc w:val="both"/>
              <w:rPr>
                <w:rFonts w:ascii="Lato" w:hAnsi="Lato" w:cs="Arial"/>
                <w:color w:val="000000" w:themeColor="text1"/>
                <w:sz w:val="22"/>
                <w:szCs w:val="22"/>
              </w:rPr>
            </w:pPr>
            <w:r w:rsidRPr="002B1745">
              <w:rPr>
                <w:rFonts w:ascii="Lato" w:hAnsi="Lato" w:cs="Arial"/>
                <w:color w:val="000000" w:themeColor="text1"/>
                <w:sz w:val="22"/>
                <w:szCs w:val="22"/>
              </w:rPr>
              <w:t xml:space="preserve">The post holder is required to carry out the duties in accordance with the SCI anti-harassment policy, </w:t>
            </w:r>
            <w:r w:rsidRPr="002B1745">
              <w:rPr>
                <w:rFonts w:ascii="Lato" w:hAnsi="Lato" w:cs="Arial"/>
                <w:color w:val="000000"/>
                <w:sz w:val="20"/>
                <w:shd w:val="clear" w:color="auto" w:fill="FFFFFF"/>
              </w:rPr>
              <w:t>all employees are also expected to carry out their duties in accordance with SCI protection from sexual exploitation abuse.</w:t>
            </w:r>
          </w:p>
        </w:tc>
      </w:tr>
      <w:tr w:rsidR="008C36E0" w:rsidRPr="002B1745" w14:paraId="079FABAC" w14:textId="77777777" w:rsidTr="00C656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44" w:type="dxa"/>
            <w:gridSpan w:val="2"/>
            <w:tcBorders>
              <w:top w:val="single" w:sz="4" w:space="0" w:color="000000"/>
              <w:left w:val="single" w:sz="4" w:space="0" w:color="000000"/>
              <w:bottom w:val="single" w:sz="4" w:space="0" w:color="000000"/>
              <w:right w:val="single" w:sz="4" w:space="0" w:color="000000"/>
            </w:tcBorders>
          </w:tcPr>
          <w:p w14:paraId="079FABAA" w14:textId="77777777" w:rsidR="008C36E0" w:rsidRPr="002B1745" w:rsidRDefault="008C36E0" w:rsidP="008C36E0">
            <w:pPr>
              <w:jc w:val="both"/>
              <w:rPr>
                <w:rFonts w:ascii="Lato" w:hAnsi="Lato" w:cs="Arial"/>
                <w:b/>
                <w:color w:val="000000" w:themeColor="text1"/>
                <w:sz w:val="22"/>
                <w:szCs w:val="22"/>
              </w:rPr>
            </w:pPr>
            <w:r w:rsidRPr="002B1745">
              <w:rPr>
                <w:rFonts w:ascii="Lato" w:hAnsi="Lato" w:cs="Arial"/>
                <w:b/>
                <w:color w:val="000000" w:themeColor="text1"/>
                <w:sz w:val="22"/>
                <w:szCs w:val="22"/>
              </w:rPr>
              <w:t>Health and Safety</w:t>
            </w:r>
          </w:p>
          <w:p w14:paraId="079FABAB" w14:textId="77777777" w:rsidR="008C36E0" w:rsidRPr="002B1745" w:rsidRDefault="008C36E0" w:rsidP="008C36E0">
            <w:pPr>
              <w:jc w:val="both"/>
              <w:rPr>
                <w:rFonts w:ascii="Lato" w:hAnsi="Lato" w:cs="Arial"/>
                <w:color w:val="000000" w:themeColor="text1"/>
                <w:sz w:val="22"/>
                <w:szCs w:val="22"/>
              </w:rPr>
            </w:pPr>
            <w:r w:rsidRPr="002B1745">
              <w:rPr>
                <w:rFonts w:ascii="Lato" w:hAnsi="Lato" w:cs="Arial"/>
                <w:color w:val="000000" w:themeColor="text1"/>
                <w:sz w:val="22"/>
                <w:szCs w:val="22"/>
              </w:rPr>
              <w:t>The role holder is required to carry out the duties in accordance with SCI Health and Safety policies and procedures.</w:t>
            </w:r>
          </w:p>
        </w:tc>
      </w:tr>
      <w:tr w:rsidR="008C36E0" w:rsidRPr="00633008" w14:paraId="079FABB2" w14:textId="77777777" w:rsidTr="00CC7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8"/>
        </w:trPr>
        <w:tc>
          <w:tcPr>
            <w:tcW w:w="9544" w:type="dxa"/>
            <w:gridSpan w:val="2"/>
            <w:tcBorders>
              <w:top w:val="single" w:sz="4" w:space="0" w:color="000000"/>
              <w:left w:val="single" w:sz="4" w:space="0" w:color="000000"/>
              <w:bottom w:val="single" w:sz="4" w:space="0" w:color="000000"/>
              <w:right w:val="single" w:sz="4" w:space="0" w:color="000000"/>
            </w:tcBorders>
          </w:tcPr>
          <w:p w14:paraId="79EABE34" w14:textId="5382902C" w:rsidR="008C36E0" w:rsidRDefault="008C36E0" w:rsidP="008C36E0">
            <w:pPr>
              <w:jc w:val="both"/>
              <w:rPr>
                <w:rFonts w:ascii="Lato" w:hAnsi="Lato" w:cs="Arial"/>
                <w:b/>
                <w:bCs/>
                <w:color w:val="000000" w:themeColor="text1"/>
                <w:sz w:val="22"/>
                <w:szCs w:val="22"/>
              </w:rPr>
            </w:pPr>
            <w:r w:rsidRPr="005B2709">
              <w:rPr>
                <w:rFonts w:ascii="Lato" w:hAnsi="Lato" w:cs="Arial"/>
                <w:b/>
                <w:bCs/>
                <w:color w:val="000000" w:themeColor="text1"/>
                <w:sz w:val="22"/>
                <w:szCs w:val="22"/>
              </w:rPr>
              <w:t>Diversity, Equity, and Inclusion</w:t>
            </w:r>
          </w:p>
          <w:p w14:paraId="3DBB0073" w14:textId="77777777" w:rsidR="008C36E0" w:rsidRPr="005B2709" w:rsidRDefault="008C36E0" w:rsidP="008C36E0">
            <w:pPr>
              <w:jc w:val="both"/>
              <w:rPr>
                <w:rFonts w:ascii="Lato" w:hAnsi="Lato" w:cs="Arial"/>
                <w:b/>
                <w:bCs/>
                <w:color w:val="000000" w:themeColor="text1"/>
                <w:sz w:val="22"/>
                <w:szCs w:val="22"/>
              </w:rPr>
            </w:pPr>
          </w:p>
          <w:p w14:paraId="6BF2E312" w14:textId="465A46D5" w:rsidR="008C36E0" w:rsidRPr="00633008" w:rsidRDefault="008C36E0" w:rsidP="008C36E0">
            <w:pPr>
              <w:ind w:right="-20"/>
              <w:rPr>
                <w:rFonts w:ascii="Lato" w:hAnsi="Lato" w:cs="Arial"/>
                <w:color w:val="000000" w:themeColor="text1"/>
                <w:sz w:val="22"/>
                <w:szCs w:val="22"/>
              </w:rPr>
            </w:pPr>
            <w:r w:rsidRPr="00633008">
              <w:rPr>
                <w:rFonts w:ascii="Lato" w:hAnsi="Lato" w:cs="Arial"/>
                <w:color w:val="000000" w:themeColor="text1"/>
                <w:sz w:val="22"/>
                <w:szCs w:val="22"/>
              </w:rPr>
              <w:t>At SCI, we uphold the principle of equal rights and opportunities for all our employees. In our commitment to fostering a more inclusive workplace and addressing gender gaps, we have implemented additional efforts aimed at supporting female qualified candidates</w:t>
            </w:r>
            <w:r>
              <w:rPr>
                <w:rFonts w:ascii="Lato" w:hAnsi="Lato" w:cs="Arial"/>
                <w:color w:val="000000" w:themeColor="text1"/>
                <w:sz w:val="22"/>
                <w:szCs w:val="22"/>
              </w:rPr>
              <w:t>: -</w:t>
            </w:r>
          </w:p>
          <w:p w14:paraId="7191BD14" w14:textId="470A68E1" w:rsidR="008C36E0" w:rsidRPr="00633008" w:rsidRDefault="008C36E0" w:rsidP="008C36E0">
            <w:pPr>
              <w:pStyle w:val="ListParagraph"/>
              <w:numPr>
                <w:ilvl w:val="0"/>
                <w:numId w:val="34"/>
              </w:numPr>
              <w:rPr>
                <w:rFonts w:ascii="Lato" w:eastAsia="Times New Roman" w:hAnsi="Lato" w:cs="Arial"/>
                <w:color w:val="000000" w:themeColor="text1"/>
                <w:lang w:val="en-GB"/>
                <w14:ligatures w14:val="none"/>
              </w:rPr>
            </w:pPr>
            <w:r w:rsidRPr="00633008">
              <w:rPr>
                <w:rFonts w:ascii="Lato" w:eastAsia="Times New Roman" w:hAnsi="Lato" w:cs="Arial"/>
                <w:color w:val="000000" w:themeColor="text1"/>
                <w:lang w:val="en-GB"/>
                <w14:ligatures w14:val="none"/>
              </w:rPr>
              <w:t>Maternity leave (6</w:t>
            </w:r>
            <w:r>
              <w:rPr>
                <w:rFonts w:ascii="Lato" w:eastAsia="Times New Roman" w:hAnsi="Lato" w:cs="Arial"/>
                <w:color w:val="000000" w:themeColor="text1"/>
                <w:lang w:val="en-GB"/>
                <w14:ligatures w14:val="none"/>
              </w:rPr>
              <w:t xml:space="preserve"> </w:t>
            </w:r>
            <w:r w:rsidRPr="00633008">
              <w:rPr>
                <w:rFonts w:ascii="Lato" w:eastAsia="Times New Roman" w:hAnsi="Lato" w:cs="Arial"/>
                <w:color w:val="000000" w:themeColor="text1"/>
                <w:lang w:val="en-GB"/>
                <w14:ligatures w14:val="none"/>
              </w:rPr>
              <w:t>months)</w:t>
            </w:r>
          </w:p>
          <w:p w14:paraId="7F0F97C1" w14:textId="77777777" w:rsidR="008C36E0" w:rsidRPr="00633008" w:rsidRDefault="008C36E0" w:rsidP="008C36E0">
            <w:pPr>
              <w:pStyle w:val="ListParagraph"/>
              <w:numPr>
                <w:ilvl w:val="0"/>
                <w:numId w:val="34"/>
              </w:numPr>
              <w:rPr>
                <w:rFonts w:ascii="Lato" w:eastAsia="Times New Roman" w:hAnsi="Lato" w:cs="Arial"/>
                <w:color w:val="000000" w:themeColor="text1"/>
                <w:lang w:val="en-GB"/>
                <w14:ligatures w14:val="none"/>
              </w:rPr>
            </w:pPr>
            <w:r w:rsidRPr="00633008">
              <w:rPr>
                <w:rFonts w:ascii="Lato" w:eastAsia="Times New Roman" w:hAnsi="Lato" w:cs="Arial"/>
                <w:color w:val="000000" w:themeColor="text1"/>
                <w:lang w:val="en-GB"/>
                <w14:ligatures w14:val="none"/>
              </w:rPr>
              <w:t>Annual Leave 30 working days</w:t>
            </w:r>
          </w:p>
          <w:p w14:paraId="6A39E328" w14:textId="1AA90C3C" w:rsidR="008C36E0" w:rsidRDefault="008C36E0" w:rsidP="008C36E0">
            <w:pPr>
              <w:pStyle w:val="ListParagraph"/>
              <w:numPr>
                <w:ilvl w:val="0"/>
                <w:numId w:val="34"/>
              </w:numPr>
              <w:rPr>
                <w:rFonts w:ascii="Lato" w:eastAsia="Times New Roman" w:hAnsi="Lato" w:cs="Arial"/>
                <w:color w:val="000000" w:themeColor="text1"/>
                <w:lang w:val="en-GB"/>
                <w14:ligatures w14:val="none"/>
              </w:rPr>
            </w:pPr>
            <w:r w:rsidRPr="00633008">
              <w:rPr>
                <w:rFonts w:ascii="Lato" w:eastAsia="Times New Roman" w:hAnsi="Lato" w:cs="Arial"/>
                <w:color w:val="000000" w:themeColor="text1"/>
                <w:lang w:val="en-GB"/>
                <w14:ligatures w14:val="none"/>
              </w:rPr>
              <w:t xml:space="preserve">10% *gross salary. </w:t>
            </w:r>
            <w:r>
              <w:rPr>
                <w:rFonts w:ascii="Lato" w:eastAsia="Times New Roman" w:hAnsi="Lato" w:cs="Arial"/>
                <w:color w:val="000000" w:themeColor="text1"/>
                <w:lang w:val="en-GB"/>
                <w14:ligatures w14:val="none"/>
              </w:rPr>
              <w:t>(</w:t>
            </w:r>
            <w:r w:rsidRPr="00633008">
              <w:rPr>
                <w:rFonts w:ascii="Lato" w:eastAsia="Times New Roman" w:hAnsi="Lato" w:cs="Arial"/>
                <w:color w:val="000000" w:themeColor="text1"/>
                <w:lang w:val="en-GB"/>
                <w14:ligatures w14:val="none"/>
              </w:rPr>
              <w:t>female allowance</w:t>
            </w:r>
            <w:r>
              <w:rPr>
                <w:rFonts w:ascii="Lato" w:eastAsia="Times New Roman" w:hAnsi="Lato" w:cs="Arial"/>
                <w:color w:val="000000" w:themeColor="text1"/>
                <w:lang w:val="en-GB"/>
                <w14:ligatures w14:val="none"/>
              </w:rPr>
              <w:t>)</w:t>
            </w:r>
            <w:r w:rsidRPr="00633008">
              <w:rPr>
                <w:rFonts w:ascii="Lato" w:eastAsia="Times New Roman" w:hAnsi="Lato" w:cs="Arial"/>
                <w:color w:val="000000" w:themeColor="text1"/>
                <w:lang w:val="en-GB"/>
                <w14:ligatures w14:val="none"/>
              </w:rPr>
              <w:t xml:space="preserve"> </w:t>
            </w:r>
          </w:p>
          <w:p w14:paraId="079FABB1" w14:textId="5A9A3D98" w:rsidR="008C36E0" w:rsidRPr="00633008" w:rsidRDefault="008C36E0" w:rsidP="008C36E0">
            <w:pPr>
              <w:pStyle w:val="ListParagraph"/>
              <w:numPr>
                <w:ilvl w:val="0"/>
                <w:numId w:val="34"/>
              </w:numPr>
              <w:rPr>
                <w:rFonts w:ascii="Lato" w:eastAsia="Times New Roman" w:hAnsi="Lato" w:cs="Arial"/>
                <w:color w:val="000000" w:themeColor="text1"/>
                <w:lang w:val="en-GB"/>
                <w14:ligatures w14:val="none"/>
              </w:rPr>
            </w:pPr>
            <w:r w:rsidRPr="00633008">
              <w:rPr>
                <w:rFonts w:ascii="Lato" w:hAnsi="Lato" w:cs="Arial"/>
                <w:color w:val="000000" w:themeColor="text1"/>
              </w:rPr>
              <w:t>1.5 flexible working hours for lactating mothers</w:t>
            </w:r>
          </w:p>
        </w:tc>
      </w:tr>
    </w:tbl>
    <w:p w14:paraId="079FABBF" w14:textId="77777777" w:rsidR="00C656C1" w:rsidRPr="00633008" w:rsidRDefault="00C656C1" w:rsidP="00C656C1">
      <w:pPr>
        <w:rPr>
          <w:rFonts w:ascii="Lato" w:hAnsi="Lato" w:cs="Arial"/>
          <w:color w:val="000000" w:themeColor="text1"/>
          <w:sz w:val="22"/>
          <w:szCs w:val="22"/>
        </w:rPr>
      </w:pPr>
    </w:p>
    <w:p w14:paraId="079FABC0" w14:textId="77777777" w:rsidR="00B83E89" w:rsidRPr="002B1745" w:rsidRDefault="00B83E89" w:rsidP="00DF31B1">
      <w:pPr>
        <w:rPr>
          <w:rFonts w:ascii="Lato" w:hAnsi="Lato" w:cs="Arial"/>
          <w:sz w:val="22"/>
          <w:szCs w:val="22"/>
        </w:rPr>
      </w:pPr>
    </w:p>
    <w:sectPr w:rsidR="00B83E89" w:rsidRPr="002B1745">
      <w:headerReference w:type="defaul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87379" w14:textId="77777777" w:rsidR="00B721EB" w:rsidRDefault="00B721EB">
      <w:r>
        <w:separator/>
      </w:r>
    </w:p>
  </w:endnote>
  <w:endnote w:type="continuationSeparator" w:id="0">
    <w:p w14:paraId="555E244E" w14:textId="77777777" w:rsidR="00B721EB" w:rsidRDefault="00B72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A00000AF" w:usb1="50006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12978" w14:textId="77777777" w:rsidR="00B721EB" w:rsidRDefault="00B721EB">
      <w:r>
        <w:separator/>
      </w:r>
    </w:p>
  </w:footnote>
  <w:footnote w:type="continuationSeparator" w:id="0">
    <w:p w14:paraId="0F798CE5" w14:textId="77777777" w:rsidR="00B721EB" w:rsidRDefault="00B72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FABC5" w14:textId="77777777" w:rsidR="001B2A90" w:rsidRPr="00F5619F" w:rsidRDefault="002B1745" w:rsidP="00F55B51">
    <w:pPr>
      <w:pStyle w:val="Header"/>
      <w:ind w:left="-142"/>
      <w:jc w:val="center"/>
      <w:rPr>
        <w:rFonts w:ascii="Arial" w:hAnsi="Arial" w:cs="Arial"/>
        <w:b/>
        <w:smallCaps/>
        <w:sz w:val="22"/>
        <w:szCs w:val="22"/>
      </w:rPr>
    </w:pPr>
    <w:r>
      <w:rPr>
        <w:rFonts w:ascii="Helvetica Neue" w:hAnsi="Helvetica Neue"/>
        <w:noProof/>
        <w:color w:val="000000"/>
        <w:sz w:val="20"/>
      </w:rPr>
      <w:drawing>
        <wp:anchor distT="0" distB="0" distL="114300" distR="114300" simplePos="0" relativeHeight="251658240" behindDoc="0" locked="0" layoutInCell="1" allowOverlap="1" wp14:anchorId="079FABC8" wp14:editId="079FABC9">
          <wp:simplePos x="0" y="0"/>
          <wp:positionH relativeFrom="column">
            <wp:posOffset>4324350</wp:posOffset>
          </wp:positionH>
          <wp:positionV relativeFrom="paragraph">
            <wp:posOffset>-361950</wp:posOffset>
          </wp:positionV>
          <wp:extent cx="2000250" cy="516255"/>
          <wp:effectExtent l="0" t="0" r="0" b="0"/>
          <wp:wrapThrough wrapText="bothSides">
            <wp:wrapPolygon edited="0">
              <wp:start x="1851" y="797"/>
              <wp:lineTo x="617" y="5579"/>
              <wp:lineTo x="206" y="8768"/>
              <wp:lineTo x="411" y="15144"/>
              <wp:lineTo x="1440" y="18332"/>
              <wp:lineTo x="1646" y="19926"/>
              <wp:lineTo x="3703" y="19926"/>
              <wp:lineTo x="4526" y="15144"/>
              <wp:lineTo x="20366" y="14347"/>
              <wp:lineTo x="20366" y="8768"/>
              <wp:lineTo x="3086" y="797"/>
              <wp:lineTo x="1851" y="797"/>
            </wp:wrapPolygon>
          </wp:wrapThrough>
          <wp:docPr id="1" name="Picture 1" descr="cid:35bbd5e6-5fd0-49ed-9078-a82e6e9534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35bbd5e6-5fd0-49ed-9078-a82e6e9534e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00250" cy="516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619F" w:rsidRPr="00F5619F">
      <w:rPr>
        <w:rFonts w:ascii="Arial" w:hAnsi="Arial" w:cs="Arial"/>
        <w:b/>
        <w:smallCaps/>
        <w:sz w:val="22"/>
        <w:szCs w:val="22"/>
      </w:rPr>
      <w:t xml:space="preserve">SAVE THE CHILDREN INTERNATIONAL </w:t>
    </w:r>
  </w:p>
  <w:p w14:paraId="079FABC6" w14:textId="77777777" w:rsidR="001B2A90" w:rsidRPr="00F5619F" w:rsidRDefault="00F5619F" w:rsidP="00F55B51">
    <w:pPr>
      <w:pStyle w:val="Header"/>
      <w:ind w:left="-142"/>
      <w:jc w:val="center"/>
      <w:rPr>
        <w:rFonts w:ascii="Arial" w:hAnsi="Arial" w:cs="Arial"/>
        <w:b/>
        <w:smallCaps/>
        <w:sz w:val="22"/>
        <w:szCs w:val="22"/>
      </w:rPr>
    </w:pPr>
    <w:r w:rsidRPr="00F5619F">
      <w:rPr>
        <w:rFonts w:ascii="Arial" w:hAnsi="Arial" w:cs="Arial"/>
        <w:b/>
        <w:smallCaps/>
        <w:sz w:val="22"/>
        <w:szCs w:val="22"/>
      </w:rPr>
      <w:t>ROLE PROFILE</w:t>
    </w:r>
  </w:p>
  <w:p w14:paraId="079FABC7" w14:textId="77777777" w:rsidR="001B2A90" w:rsidRPr="00770638" w:rsidRDefault="001B2A90"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C07B03"/>
    <w:multiLevelType w:val="multilevel"/>
    <w:tmpl w:val="24948E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E83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13"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4"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15"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3B1954"/>
    <w:multiLevelType w:val="hybridMultilevel"/>
    <w:tmpl w:val="10445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0"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DE1BF5"/>
    <w:multiLevelType w:val="hybridMultilevel"/>
    <w:tmpl w:val="5338D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26"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29" w15:restartNumberingAfterBreak="0">
    <w:nsid w:val="62DB2788"/>
    <w:multiLevelType w:val="multilevel"/>
    <w:tmpl w:val="0AE40A94"/>
    <w:lvl w:ilvl="0">
      <w:start w:val="168"/>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2"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10491E"/>
    <w:multiLevelType w:val="hybridMultilevel"/>
    <w:tmpl w:val="B24EF9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18000B2"/>
    <w:multiLevelType w:val="hybridMultilevel"/>
    <w:tmpl w:val="D34C9C96"/>
    <w:lvl w:ilvl="0" w:tplc="0409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5"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num w:numId="1" w16cid:durableId="2094886240">
    <w:abstractNumId w:val="20"/>
  </w:num>
  <w:num w:numId="2" w16cid:durableId="1278371697">
    <w:abstractNumId w:val="13"/>
  </w:num>
  <w:num w:numId="3" w16cid:durableId="297345943">
    <w:abstractNumId w:val="19"/>
  </w:num>
  <w:num w:numId="4" w16cid:durableId="520046564">
    <w:abstractNumId w:val="0"/>
  </w:num>
  <w:num w:numId="5" w16cid:durableId="546066528">
    <w:abstractNumId w:val="22"/>
  </w:num>
  <w:num w:numId="6" w16cid:durableId="1770732134">
    <w:abstractNumId w:val="10"/>
  </w:num>
  <w:num w:numId="7" w16cid:durableId="1418289617">
    <w:abstractNumId w:val="21"/>
  </w:num>
  <w:num w:numId="8" w16cid:durableId="1447239632">
    <w:abstractNumId w:val="11"/>
  </w:num>
  <w:num w:numId="9" w16cid:durableId="940988484">
    <w:abstractNumId w:val="6"/>
  </w:num>
  <w:num w:numId="10" w16cid:durableId="1353189015">
    <w:abstractNumId w:val="15"/>
  </w:num>
  <w:num w:numId="11" w16cid:durableId="1797093267">
    <w:abstractNumId w:val="30"/>
  </w:num>
  <w:num w:numId="12" w16cid:durableId="2098748217">
    <w:abstractNumId w:val="14"/>
  </w:num>
  <w:num w:numId="13" w16cid:durableId="1967588371">
    <w:abstractNumId w:val="32"/>
  </w:num>
  <w:num w:numId="14" w16cid:durableId="1333291760">
    <w:abstractNumId w:val="16"/>
  </w:num>
  <w:num w:numId="15" w16cid:durableId="1742169647">
    <w:abstractNumId w:val="24"/>
  </w:num>
  <w:num w:numId="16" w16cid:durableId="1937133797">
    <w:abstractNumId w:val="17"/>
  </w:num>
  <w:num w:numId="17" w16cid:durableId="1252661223">
    <w:abstractNumId w:val="7"/>
  </w:num>
  <w:num w:numId="18" w16cid:durableId="1796289009">
    <w:abstractNumId w:val="31"/>
  </w:num>
  <w:num w:numId="19" w16cid:durableId="812796252">
    <w:abstractNumId w:val="9"/>
  </w:num>
  <w:num w:numId="20" w16cid:durableId="396322600">
    <w:abstractNumId w:val="5"/>
  </w:num>
  <w:num w:numId="21" w16cid:durableId="789399527">
    <w:abstractNumId w:val="29"/>
  </w:num>
  <w:num w:numId="22" w16cid:durableId="2027634848">
    <w:abstractNumId w:val="27"/>
  </w:num>
  <w:num w:numId="23" w16cid:durableId="1132213757">
    <w:abstractNumId w:val="25"/>
  </w:num>
  <w:num w:numId="24" w16cid:durableId="285934394">
    <w:abstractNumId w:val="35"/>
  </w:num>
  <w:num w:numId="25" w16cid:durableId="1478373184">
    <w:abstractNumId w:val="28"/>
  </w:num>
  <w:num w:numId="26" w16cid:durableId="514153612">
    <w:abstractNumId w:val="12"/>
  </w:num>
  <w:num w:numId="27" w16cid:durableId="1655791727">
    <w:abstractNumId w:val="26"/>
  </w:num>
  <w:num w:numId="28" w16cid:durableId="1809088056">
    <w:abstractNumId w:val="8"/>
  </w:num>
  <w:num w:numId="29" w16cid:durableId="1859460731">
    <w:abstractNumId w:val="1"/>
  </w:num>
  <w:num w:numId="30" w16cid:durableId="859468054">
    <w:abstractNumId w:val="2"/>
  </w:num>
  <w:num w:numId="31" w16cid:durableId="244995350">
    <w:abstractNumId w:val="3"/>
  </w:num>
  <w:num w:numId="32" w16cid:durableId="1176110596">
    <w:abstractNumId w:val="4"/>
  </w:num>
  <w:num w:numId="33" w16cid:durableId="1934586732">
    <w:abstractNumId w:val="23"/>
  </w:num>
  <w:num w:numId="34" w16cid:durableId="1005476180">
    <w:abstractNumId w:val="18"/>
  </w:num>
  <w:num w:numId="35" w16cid:durableId="1286934344">
    <w:abstractNumId w:val="34"/>
  </w:num>
  <w:num w:numId="36" w16cid:durableId="1442801473">
    <w:abstractNumId w:val="3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AC"/>
    <w:rsid w:val="00007D0B"/>
    <w:rsid w:val="00014716"/>
    <w:rsid w:val="000309E4"/>
    <w:rsid w:val="000439E4"/>
    <w:rsid w:val="00091A58"/>
    <w:rsid w:val="00091D83"/>
    <w:rsid w:val="00092DD0"/>
    <w:rsid w:val="000A0163"/>
    <w:rsid w:val="000B2430"/>
    <w:rsid w:val="000E09C6"/>
    <w:rsid w:val="0015099B"/>
    <w:rsid w:val="0015532E"/>
    <w:rsid w:val="00174203"/>
    <w:rsid w:val="0017754D"/>
    <w:rsid w:val="00183B33"/>
    <w:rsid w:val="00197A5F"/>
    <w:rsid w:val="001B2A90"/>
    <w:rsid w:val="001B461D"/>
    <w:rsid w:val="001D1F88"/>
    <w:rsid w:val="001E3518"/>
    <w:rsid w:val="002065ED"/>
    <w:rsid w:val="00225770"/>
    <w:rsid w:val="00255049"/>
    <w:rsid w:val="00267F7F"/>
    <w:rsid w:val="00284A9A"/>
    <w:rsid w:val="00287B36"/>
    <w:rsid w:val="00290500"/>
    <w:rsid w:val="002916E8"/>
    <w:rsid w:val="00297EEF"/>
    <w:rsid w:val="002B1745"/>
    <w:rsid w:val="002B21C3"/>
    <w:rsid w:val="002D4A35"/>
    <w:rsid w:val="002E170D"/>
    <w:rsid w:val="002E2319"/>
    <w:rsid w:val="002E34C0"/>
    <w:rsid w:val="00313E72"/>
    <w:rsid w:val="00324580"/>
    <w:rsid w:val="00341E13"/>
    <w:rsid w:val="00347264"/>
    <w:rsid w:val="00382DCB"/>
    <w:rsid w:val="003B081D"/>
    <w:rsid w:val="003B2EB5"/>
    <w:rsid w:val="00407466"/>
    <w:rsid w:val="00416FB8"/>
    <w:rsid w:val="00434D92"/>
    <w:rsid w:val="00456024"/>
    <w:rsid w:val="00457479"/>
    <w:rsid w:val="004757CF"/>
    <w:rsid w:val="00480895"/>
    <w:rsid w:val="00482382"/>
    <w:rsid w:val="00483CC9"/>
    <w:rsid w:val="004852D8"/>
    <w:rsid w:val="00493703"/>
    <w:rsid w:val="004B2994"/>
    <w:rsid w:val="004C2411"/>
    <w:rsid w:val="004C3B5C"/>
    <w:rsid w:val="004C3FFF"/>
    <w:rsid w:val="004C44EA"/>
    <w:rsid w:val="004E2B71"/>
    <w:rsid w:val="004F5C4E"/>
    <w:rsid w:val="00502CDE"/>
    <w:rsid w:val="00514D77"/>
    <w:rsid w:val="00520EAC"/>
    <w:rsid w:val="005358D9"/>
    <w:rsid w:val="00543A17"/>
    <w:rsid w:val="00553DE4"/>
    <w:rsid w:val="00556B70"/>
    <w:rsid w:val="005602C8"/>
    <w:rsid w:val="00586599"/>
    <w:rsid w:val="005B2709"/>
    <w:rsid w:val="005D08E0"/>
    <w:rsid w:val="005F161F"/>
    <w:rsid w:val="00601D69"/>
    <w:rsid w:val="00613839"/>
    <w:rsid w:val="006171BF"/>
    <w:rsid w:val="006224AD"/>
    <w:rsid w:val="00624CD4"/>
    <w:rsid w:val="00633008"/>
    <w:rsid w:val="00636E81"/>
    <w:rsid w:val="00640C69"/>
    <w:rsid w:val="00647D3A"/>
    <w:rsid w:val="00652A42"/>
    <w:rsid w:val="00680B74"/>
    <w:rsid w:val="0069034A"/>
    <w:rsid w:val="00690B18"/>
    <w:rsid w:val="006934BA"/>
    <w:rsid w:val="006A391E"/>
    <w:rsid w:val="006D3CEE"/>
    <w:rsid w:val="006D7BC5"/>
    <w:rsid w:val="006F46C2"/>
    <w:rsid w:val="0072183D"/>
    <w:rsid w:val="00743D76"/>
    <w:rsid w:val="00756550"/>
    <w:rsid w:val="00762004"/>
    <w:rsid w:val="00770638"/>
    <w:rsid w:val="007770CA"/>
    <w:rsid w:val="007830B1"/>
    <w:rsid w:val="007B47F6"/>
    <w:rsid w:val="007D26DC"/>
    <w:rsid w:val="007D3755"/>
    <w:rsid w:val="007F0E5A"/>
    <w:rsid w:val="007F13A8"/>
    <w:rsid w:val="007F3ECE"/>
    <w:rsid w:val="007F729D"/>
    <w:rsid w:val="00805BE2"/>
    <w:rsid w:val="008178C0"/>
    <w:rsid w:val="00822219"/>
    <w:rsid w:val="008264D8"/>
    <w:rsid w:val="00836469"/>
    <w:rsid w:val="00850C04"/>
    <w:rsid w:val="0088006A"/>
    <w:rsid w:val="008A071A"/>
    <w:rsid w:val="008C36E0"/>
    <w:rsid w:val="008C5A62"/>
    <w:rsid w:val="0090541F"/>
    <w:rsid w:val="00905FA6"/>
    <w:rsid w:val="00920C0C"/>
    <w:rsid w:val="00920E86"/>
    <w:rsid w:val="00920FDB"/>
    <w:rsid w:val="00921058"/>
    <w:rsid w:val="00927BE8"/>
    <w:rsid w:val="009356CE"/>
    <w:rsid w:val="009376FF"/>
    <w:rsid w:val="009547DB"/>
    <w:rsid w:val="00984B86"/>
    <w:rsid w:val="00993100"/>
    <w:rsid w:val="009B20D9"/>
    <w:rsid w:val="009C17CE"/>
    <w:rsid w:val="009D22D1"/>
    <w:rsid w:val="009D2BAF"/>
    <w:rsid w:val="009E3F2E"/>
    <w:rsid w:val="009F24C5"/>
    <w:rsid w:val="00A449FC"/>
    <w:rsid w:val="00A50785"/>
    <w:rsid w:val="00A56833"/>
    <w:rsid w:val="00A62515"/>
    <w:rsid w:val="00A6746E"/>
    <w:rsid w:val="00A9158C"/>
    <w:rsid w:val="00AA77CC"/>
    <w:rsid w:val="00AB2CE5"/>
    <w:rsid w:val="00AC7F69"/>
    <w:rsid w:val="00AD38C8"/>
    <w:rsid w:val="00AE3EDF"/>
    <w:rsid w:val="00B04818"/>
    <w:rsid w:val="00B109CA"/>
    <w:rsid w:val="00B14F8E"/>
    <w:rsid w:val="00B21B76"/>
    <w:rsid w:val="00B5365E"/>
    <w:rsid w:val="00B721EB"/>
    <w:rsid w:val="00B830C1"/>
    <w:rsid w:val="00B83E89"/>
    <w:rsid w:val="00B84E72"/>
    <w:rsid w:val="00B85F11"/>
    <w:rsid w:val="00B9157F"/>
    <w:rsid w:val="00B931D7"/>
    <w:rsid w:val="00BA2A12"/>
    <w:rsid w:val="00BA6FC8"/>
    <w:rsid w:val="00BC471B"/>
    <w:rsid w:val="00BE556E"/>
    <w:rsid w:val="00C13528"/>
    <w:rsid w:val="00C15D29"/>
    <w:rsid w:val="00C21E23"/>
    <w:rsid w:val="00C34EA2"/>
    <w:rsid w:val="00C61C6F"/>
    <w:rsid w:val="00C6257E"/>
    <w:rsid w:val="00C656C1"/>
    <w:rsid w:val="00C71F41"/>
    <w:rsid w:val="00C82E63"/>
    <w:rsid w:val="00C95100"/>
    <w:rsid w:val="00C978E6"/>
    <w:rsid w:val="00CA3D46"/>
    <w:rsid w:val="00CB20F1"/>
    <w:rsid w:val="00CC761B"/>
    <w:rsid w:val="00CE502B"/>
    <w:rsid w:val="00D26C4F"/>
    <w:rsid w:val="00D329A6"/>
    <w:rsid w:val="00D33A59"/>
    <w:rsid w:val="00D42548"/>
    <w:rsid w:val="00D43470"/>
    <w:rsid w:val="00D5085F"/>
    <w:rsid w:val="00D520E4"/>
    <w:rsid w:val="00D64C59"/>
    <w:rsid w:val="00DB49BD"/>
    <w:rsid w:val="00DF31B1"/>
    <w:rsid w:val="00E03B54"/>
    <w:rsid w:val="00E13755"/>
    <w:rsid w:val="00E14DF1"/>
    <w:rsid w:val="00E2250C"/>
    <w:rsid w:val="00E317E4"/>
    <w:rsid w:val="00E53475"/>
    <w:rsid w:val="00E722A3"/>
    <w:rsid w:val="00E72C0C"/>
    <w:rsid w:val="00E760A1"/>
    <w:rsid w:val="00E77359"/>
    <w:rsid w:val="00E83956"/>
    <w:rsid w:val="00EA19E3"/>
    <w:rsid w:val="00EA44F5"/>
    <w:rsid w:val="00EB1BA4"/>
    <w:rsid w:val="00EC1B3B"/>
    <w:rsid w:val="00EC46B9"/>
    <w:rsid w:val="00ED102A"/>
    <w:rsid w:val="00EE4321"/>
    <w:rsid w:val="00EF0236"/>
    <w:rsid w:val="00EF1BB6"/>
    <w:rsid w:val="00EF20E6"/>
    <w:rsid w:val="00EF33BF"/>
    <w:rsid w:val="00F02B5B"/>
    <w:rsid w:val="00F069CA"/>
    <w:rsid w:val="00F07843"/>
    <w:rsid w:val="00F17D35"/>
    <w:rsid w:val="00F44AC7"/>
    <w:rsid w:val="00F523B3"/>
    <w:rsid w:val="00F55B51"/>
    <w:rsid w:val="00F5619F"/>
    <w:rsid w:val="00F706C7"/>
    <w:rsid w:val="00F73DCC"/>
    <w:rsid w:val="00F810FA"/>
    <w:rsid w:val="00F9086D"/>
    <w:rsid w:val="00FB7297"/>
    <w:rsid w:val="00FC67B6"/>
    <w:rsid w:val="00FE78CA"/>
    <w:rsid w:val="00FF1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9FAB59"/>
  <w15:chartTrackingRefBased/>
  <w15:docId w15:val="{E7D44CD6-A140-42F8-ADEA-71FAEC68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uiPriority w:val="99"/>
    <w:rsid w:val="008A071A"/>
    <w:rPr>
      <w:color w:val="0000FF"/>
      <w:u w:val="single"/>
    </w:rPr>
  </w:style>
  <w:style w:type="character" w:styleId="Emphasis">
    <w:name w:val="Emphasis"/>
    <w:basedOn w:val="DefaultParagraphFont"/>
    <w:uiPriority w:val="20"/>
    <w:qFormat/>
    <w:rsid w:val="00C656C1"/>
    <w:rPr>
      <w:i/>
      <w:iCs/>
    </w:rPr>
  </w:style>
  <w:style w:type="paragraph" w:styleId="ListParagraph">
    <w:name w:val="List Paragraph"/>
    <w:basedOn w:val="Normal"/>
    <w:uiPriority w:val="34"/>
    <w:qFormat/>
    <w:rsid w:val="00633008"/>
    <w:pPr>
      <w:ind w:left="720"/>
    </w:pPr>
    <w:rPr>
      <w:rFonts w:ascii="Calibri" w:eastAsiaTheme="minorHAnsi" w:hAnsi="Calibri" w:cs="Calibri"/>
      <w:sz w:val="22"/>
      <w:szCs w:val="22"/>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cid:35bbd5e6-5fd0-49ed-9078-a82e6e9534e3"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BF309E1FC2D4645BE9A3C88341399E7" ma:contentTypeVersion="4" ma:contentTypeDescription="Create a new document." ma:contentTypeScope="" ma:versionID="f90cd877f03ebe2cf3a4da5ca0eb449f">
  <xsd:schema xmlns:xsd="http://www.w3.org/2001/XMLSchema" xmlns:xs="http://www.w3.org/2001/XMLSchema" xmlns:p="http://schemas.microsoft.com/office/2006/metadata/properties" xmlns:ns2="910961f2-52b6-4834-8d68-4f0ae60e486c" targetNamespace="http://schemas.microsoft.com/office/2006/metadata/properties" ma:root="true" ma:fieldsID="528e48d69ee4fa606c754d2cf8b5d360" ns2:_="">
    <xsd:import namespace="910961f2-52b6-4834-8d68-4f0ae60e48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0961f2-52b6-4834-8d68-4f0ae60e48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6E701F-15DF-4E8A-A8F2-A6907C2E3391}">
  <ds:schemaRefs>
    <ds:schemaRef ds:uri="http://schemas.microsoft.com/sharepoint/v3/contenttype/forms"/>
  </ds:schemaRefs>
</ds:datastoreItem>
</file>

<file path=customXml/itemProps2.xml><?xml version="1.0" encoding="utf-8"?>
<ds:datastoreItem xmlns:ds="http://schemas.openxmlformats.org/officeDocument/2006/customXml" ds:itemID="{ADF49937-79A8-43D3-BFB1-92B1EFEF5A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4E9329-8BE7-4DCB-87B4-3B11BC03D157}">
  <ds:schemaRefs>
    <ds:schemaRef ds:uri="http://schemas.openxmlformats.org/officeDocument/2006/bibliography"/>
  </ds:schemaRefs>
</ds:datastoreItem>
</file>

<file path=customXml/itemProps4.xml><?xml version="1.0" encoding="utf-8"?>
<ds:datastoreItem xmlns:ds="http://schemas.openxmlformats.org/officeDocument/2006/customXml" ds:itemID="{4EEADA83-6B7C-4BE9-9CC7-77BD101E3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0961f2-52b6-4834-8d68-4f0ae60e4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1483</Words>
  <Characters>8456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Adan, Jawahir</cp:lastModifiedBy>
  <cp:revision>6</cp:revision>
  <cp:lastPrinted>2011-08-02T10:07:00Z</cp:lastPrinted>
  <dcterms:created xsi:type="dcterms:W3CDTF">2024-02-20T09:50:00Z</dcterms:created>
  <dcterms:modified xsi:type="dcterms:W3CDTF">2024-02-20T13:24:00Z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0x0101008BF309E1FC2D4645BE9A3C88341399E7</vt:lpwstr>
  </property>
</Properties>
</file>